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header6.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7.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8.xml" ContentType="application/vnd.openxmlformats-officedocument.wordprocessingml.header+xml"/>
  <Override PartName="/word/footer18.xml" ContentType="application/vnd.openxmlformats-officedocument.wordprocessingml.footer+xml"/>
  <Override PartName="/word/header9.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10.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header11.xml" ContentType="application/vnd.openxmlformats-officedocument.wordprocessingml.head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6C836" w14:textId="77777777" w:rsidR="008D7468" w:rsidRDefault="008D7468">
      <w:pPr>
        <w:pStyle w:val="BBody"/>
        <w:jc w:val="center"/>
      </w:pPr>
    </w:p>
    <w:p w14:paraId="5EBBA0F3" w14:textId="77777777" w:rsidR="008D7468" w:rsidRDefault="008D7468">
      <w:pPr>
        <w:pStyle w:val="BBody"/>
        <w:jc w:val="center"/>
      </w:pPr>
    </w:p>
    <w:p w14:paraId="5F1A623E" w14:textId="77777777" w:rsidR="008D7468" w:rsidRDefault="008D7468">
      <w:pPr>
        <w:pStyle w:val="BBody"/>
        <w:jc w:val="center"/>
      </w:pPr>
    </w:p>
    <w:p w14:paraId="1237C7CE" w14:textId="77777777" w:rsidR="008D7468" w:rsidRDefault="006A04CB">
      <w:pPr>
        <w:pStyle w:val="BBody"/>
        <w:jc w:val="center"/>
      </w:pPr>
      <w:r w:rsidRPr="6EA93EE1">
        <w:rPr>
          <w:b/>
          <w:bCs/>
        </w:rPr>
        <w:t>DRAFT</w:t>
      </w:r>
      <w:r w:rsidRPr="6EA93EE1">
        <w:rPr>
          <w:rStyle w:val="FootnoteReference"/>
          <w:b/>
          <w:bCs/>
        </w:rPr>
        <w:footnoteReference w:id="2"/>
      </w:r>
    </w:p>
    <w:p w14:paraId="00F8F72B" w14:textId="77777777" w:rsidR="008D7468" w:rsidRDefault="006A04CB">
      <w:pPr>
        <w:pStyle w:val="BBody"/>
        <w:jc w:val="center"/>
        <w:rPr>
          <w:b/>
        </w:rPr>
      </w:pPr>
      <w:r>
        <w:rPr>
          <w:b/>
        </w:rPr>
        <w:t>POWER PURCHASE AGREEMENT</w:t>
      </w:r>
    </w:p>
    <w:p w14:paraId="6A2ECB1D" w14:textId="77777777" w:rsidR="008D7468" w:rsidRDefault="006A04CB">
      <w:pPr>
        <w:pStyle w:val="BBody"/>
        <w:jc w:val="center"/>
        <w:rPr>
          <w:b/>
        </w:rPr>
      </w:pPr>
      <w:r>
        <w:rPr>
          <w:b/>
        </w:rPr>
        <w:t>BETWEEN</w:t>
      </w:r>
    </w:p>
    <w:p w14:paraId="203314F8" w14:textId="3A3BB407" w:rsidR="008D7468" w:rsidRDefault="006A04CB">
      <w:pPr>
        <w:pStyle w:val="BBody"/>
        <w:jc w:val="center"/>
        <w:rPr>
          <w:b/>
        </w:rPr>
      </w:pPr>
      <w:r>
        <w:rPr>
          <w:b/>
        </w:rPr>
        <w:t xml:space="preserve">THE NARRAGANSETT ELECTRIC COMPANY, D/B/A </w:t>
      </w:r>
      <w:r w:rsidR="00590A74">
        <w:rPr>
          <w:b/>
        </w:rPr>
        <w:t>RHODE ISLAND ENERGY</w:t>
      </w:r>
      <w:r>
        <w:rPr>
          <w:b/>
        </w:rPr>
        <w:t xml:space="preserve">,     </w:t>
      </w:r>
    </w:p>
    <w:p w14:paraId="62B82F94" w14:textId="77777777" w:rsidR="008D7468" w:rsidRDefault="006A04CB">
      <w:pPr>
        <w:pStyle w:val="BBody"/>
        <w:jc w:val="center"/>
        <w:rPr>
          <w:b/>
        </w:rPr>
      </w:pPr>
      <w:r>
        <w:rPr>
          <w:b/>
        </w:rPr>
        <w:t>AS BUYER</w:t>
      </w:r>
    </w:p>
    <w:p w14:paraId="4F063787" w14:textId="77777777" w:rsidR="008D7468" w:rsidRDefault="006A04CB">
      <w:pPr>
        <w:pStyle w:val="BBody"/>
        <w:jc w:val="center"/>
        <w:rPr>
          <w:b/>
        </w:rPr>
      </w:pPr>
      <w:r>
        <w:rPr>
          <w:b/>
        </w:rPr>
        <w:t>AND</w:t>
      </w:r>
    </w:p>
    <w:p w14:paraId="3C8D0C10" w14:textId="77777777" w:rsidR="008D7468" w:rsidRDefault="006A04CB">
      <w:pPr>
        <w:pStyle w:val="BBody"/>
        <w:jc w:val="center"/>
        <w:rPr>
          <w:b/>
        </w:rPr>
      </w:pPr>
      <w:r>
        <w:rPr>
          <w:b/>
        </w:rPr>
        <w:t>[_________________]</w:t>
      </w:r>
      <w:r>
        <w:rPr>
          <w:b/>
        </w:rPr>
        <w:br/>
        <w:t>[Seller]</w:t>
      </w:r>
    </w:p>
    <w:p w14:paraId="0A14895F" w14:textId="77777777" w:rsidR="008D7468" w:rsidRDefault="008D7468">
      <w:pPr>
        <w:pStyle w:val="BBody"/>
        <w:jc w:val="center"/>
        <w:rPr>
          <w:b/>
        </w:rPr>
      </w:pPr>
    </w:p>
    <w:p w14:paraId="44DA4D01" w14:textId="14C73433" w:rsidR="008D7468" w:rsidRDefault="006A04CB" w:rsidP="00E24506">
      <w:pPr>
        <w:pStyle w:val="BBody"/>
        <w:jc w:val="center"/>
        <w:sectPr w:rsidR="008D7468">
          <w:footerReference w:type="even" r:id="rId11"/>
          <w:footerReference w:type="default" r:id="rId12"/>
          <w:headerReference w:type="first" r:id="rId13"/>
          <w:footerReference w:type="first" r:id="rId14"/>
          <w:pgSz w:w="12240" w:h="15840" w:code="1"/>
          <w:pgMar w:top="1440" w:right="1440" w:bottom="1440" w:left="1440" w:header="720" w:footer="720" w:gutter="0"/>
          <w:cols w:space="720"/>
          <w:titlePg/>
          <w:docGrid w:linePitch="360"/>
        </w:sectPr>
      </w:pPr>
      <w:r>
        <w:rPr>
          <w:b/>
        </w:rPr>
        <w:t>As of [____________], 20</w:t>
      </w:r>
      <w:r w:rsidR="00590A74">
        <w:rPr>
          <w:b/>
        </w:rPr>
        <w:t>2</w:t>
      </w:r>
      <w:r>
        <w:rPr>
          <w:b/>
        </w:rPr>
        <w:t>_</w:t>
      </w:r>
    </w:p>
    <w:p w14:paraId="672081C9" w14:textId="42247D94" w:rsidR="006A04CB" w:rsidRDefault="006A04CB" w:rsidP="00B40767">
      <w:pPr>
        <w:pStyle w:val="TOC1"/>
        <w:ind w:left="0" w:firstLine="0"/>
        <w:rPr>
          <w:rFonts w:asciiTheme="minorHAnsi" w:eastAsiaTheme="minorEastAsia" w:hAnsiTheme="minorHAnsi" w:cstheme="minorBidi"/>
          <w:noProof/>
          <w:sz w:val="22"/>
          <w:szCs w:val="22"/>
          <w:lang w:eastAsia="ja-JP"/>
        </w:rPr>
      </w:pPr>
      <w:r>
        <w:lastRenderedPageBreak/>
        <w:fldChar w:fldCharType="begin"/>
      </w:r>
      <w:r>
        <w:instrText xml:space="preserve"> TOC  \h \t "Legal2 1,1, Legal2 2,2" \x \* MERGEFORMAT </w:instrText>
      </w:r>
      <w:r>
        <w:fldChar w:fldCharType="separate"/>
      </w:r>
    </w:p>
    <w:p w14:paraId="7B14EF70" w14:textId="162E4473" w:rsidR="006A04CB" w:rsidRDefault="006A04CB" w:rsidP="48E59AA6">
      <w:pPr>
        <w:pStyle w:val="TOC1"/>
        <w:rPr>
          <w:rFonts w:asciiTheme="minorHAnsi" w:eastAsiaTheme="minorEastAsia" w:hAnsiTheme="minorHAnsi" w:cstheme="minorBidi"/>
          <w:noProof/>
          <w:sz w:val="22"/>
          <w:szCs w:val="22"/>
          <w:lang w:eastAsia="ja-JP"/>
        </w:rPr>
      </w:pPr>
    </w:p>
    <w:p w14:paraId="05C8ED71" w14:textId="58F00160" w:rsidR="008D7468" w:rsidRDefault="006A04CB" w:rsidP="48E59AA6">
      <w:pPr>
        <w:pStyle w:val="BBody"/>
        <w:jc w:val="center"/>
        <w:rPr>
          <w:b/>
          <w:bCs/>
        </w:rPr>
      </w:pPr>
      <w:r w:rsidRPr="48E59AA6">
        <w:rPr>
          <w:b/>
          <w:bCs/>
        </w:rPr>
        <w:t>TABLE OF CONTENTS</w:t>
      </w:r>
    </w:p>
    <w:p w14:paraId="0849C5DF" w14:textId="7C1CC0F2" w:rsidR="008D7468" w:rsidRDefault="006A04CB" w:rsidP="48E59AA6">
      <w:pPr>
        <w:pStyle w:val="BBody"/>
        <w:jc w:val="right"/>
        <w:rPr>
          <w:b/>
          <w:bCs/>
          <w:u w:val="single"/>
        </w:rPr>
      </w:pPr>
      <w:r w:rsidRPr="48E59AA6">
        <w:rPr>
          <w:b/>
          <w:bCs/>
          <w:u w:val="single"/>
        </w:rPr>
        <w:t>Page</w:t>
      </w:r>
    </w:p>
    <w:p w14:paraId="1138A9DF" w14:textId="6DA85FDA"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1.</w:t>
      </w:r>
      <w:r>
        <w:rPr>
          <w:rFonts w:asciiTheme="minorHAnsi" w:eastAsiaTheme="minorEastAsia" w:hAnsiTheme="minorHAnsi" w:cstheme="minorBidi"/>
          <w:noProof/>
          <w:sz w:val="22"/>
          <w:szCs w:val="22"/>
        </w:rPr>
        <w:tab/>
      </w:r>
      <w:r w:rsidRPr="00616016">
        <w:rPr>
          <w:rStyle w:val="Hyperlink"/>
          <w:noProof/>
        </w:rPr>
        <w:t>DEFINITIONS</w:t>
      </w:r>
      <w:r>
        <w:rPr>
          <w:noProof/>
        </w:rPr>
        <w:tab/>
        <w:t>1</w:t>
      </w:r>
    </w:p>
    <w:p w14:paraId="45D989C8" w14:textId="240BEC56"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2.</w:t>
      </w:r>
      <w:r>
        <w:rPr>
          <w:rFonts w:asciiTheme="minorHAnsi" w:eastAsiaTheme="minorEastAsia" w:hAnsiTheme="minorHAnsi" w:cstheme="minorBidi"/>
          <w:noProof/>
          <w:sz w:val="22"/>
          <w:szCs w:val="22"/>
        </w:rPr>
        <w:tab/>
      </w:r>
      <w:r w:rsidRPr="00616016">
        <w:rPr>
          <w:rStyle w:val="Hyperlink"/>
          <w:noProof/>
        </w:rPr>
        <w:t>EFFECTIVE DATE; TERM</w:t>
      </w:r>
      <w:r>
        <w:rPr>
          <w:noProof/>
        </w:rPr>
        <w:tab/>
        <w:t>13</w:t>
      </w:r>
    </w:p>
    <w:p w14:paraId="45879938" w14:textId="394D9A6B"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2.1</w:t>
      </w:r>
      <w:r>
        <w:rPr>
          <w:rFonts w:asciiTheme="minorHAnsi" w:eastAsiaTheme="minorEastAsia" w:hAnsiTheme="minorHAnsi" w:cstheme="minorBidi"/>
          <w:noProof/>
          <w:sz w:val="22"/>
          <w:szCs w:val="22"/>
        </w:rPr>
        <w:tab/>
      </w:r>
      <w:r w:rsidRPr="00616016">
        <w:rPr>
          <w:rStyle w:val="Hyperlink"/>
          <w:noProof/>
        </w:rPr>
        <w:t>Effective Date.  Subject in all respects to Article 8, this Agreement is effective as of the Effective Date.</w:t>
      </w:r>
      <w:r>
        <w:rPr>
          <w:noProof/>
        </w:rPr>
        <w:tab/>
        <w:t>13</w:t>
      </w:r>
    </w:p>
    <w:p w14:paraId="7E0DD1D5" w14:textId="43A130AA"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2.2</w:t>
      </w:r>
      <w:r>
        <w:rPr>
          <w:rFonts w:asciiTheme="minorHAnsi" w:eastAsiaTheme="minorEastAsia" w:hAnsiTheme="minorHAnsi" w:cstheme="minorBidi"/>
          <w:noProof/>
          <w:sz w:val="22"/>
          <w:szCs w:val="22"/>
        </w:rPr>
        <w:tab/>
      </w:r>
      <w:r w:rsidRPr="00616016">
        <w:rPr>
          <w:rStyle w:val="Hyperlink"/>
          <w:noProof/>
        </w:rPr>
        <w:t>Term.</w:t>
      </w:r>
      <w:r>
        <w:rPr>
          <w:noProof/>
        </w:rPr>
        <w:tab/>
        <w:t>13</w:t>
      </w:r>
    </w:p>
    <w:p w14:paraId="7337C612" w14:textId="4FB53BDD"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3.</w:t>
      </w:r>
      <w:r>
        <w:rPr>
          <w:rFonts w:asciiTheme="minorHAnsi" w:eastAsiaTheme="minorEastAsia" w:hAnsiTheme="minorHAnsi" w:cstheme="minorBidi"/>
          <w:noProof/>
          <w:sz w:val="22"/>
          <w:szCs w:val="22"/>
        </w:rPr>
        <w:tab/>
      </w:r>
      <w:r w:rsidRPr="00616016">
        <w:rPr>
          <w:rStyle w:val="Hyperlink"/>
          <w:noProof/>
        </w:rPr>
        <w:t>FACILITY DEVELOPMENT AND OPERATION</w:t>
      </w:r>
      <w:r>
        <w:rPr>
          <w:noProof/>
        </w:rPr>
        <w:tab/>
        <w:t>14</w:t>
      </w:r>
    </w:p>
    <w:p w14:paraId="3DB69DBF" w14:textId="0A1EF084"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3.1</w:t>
      </w:r>
      <w:r>
        <w:rPr>
          <w:rFonts w:asciiTheme="minorHAnsi" w:eastAsiaTheme="minorEastAsia" w:hAnsiTheme="minorHAnsi" w:cstheme="minorBidi"/>
          <w:noProof/>
          <w:sz w:val="22"/>
          <w:szCs w:val="22"/>
        </w:rPr>
        <w:tab/>
      </w:r>
      <w:r w:rsidRPr="00616016">
        <w:rPr>
          <w:rStyle w:val="Hyperlink"/>
          <w:noProof/>
        </w:rPr>
        <w:t>Critical Milestones.</w:t>
      </w:r>
      <w:r>
        <w:rPr>
          <w:noProof/>
        </w:rPr>
        <w:tab/>
        <w:t>14</w:t>
      </w:r>
    </w:p>
    <w:p w14:paraId="21CE6FF2" w14:textId="4C8338BA"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3.2</w:t>
      </w:r>
      <w:r>
        <w:rPr>
          <w:rFonts w:asciiTheme="minorHAnsi" w:eastAsiaTheme="minorEastAsia" w:hAnsiTheme="minorHAnsi" w:cstheme="minorBidi"/>
          <w:noProof/>
          <w:sz w:val="22"/>
          <w:szCs w:val="22"/>
        </w:rPr>
        <w:tab/>
      </w:r>
      <w:r w:rsidRPr="00616016">
        <w:rPr>
          <w:rStyle w:val="Hyperlink"/>
          <w:noProof/>
        </w:rPr>
        <w:t>Delay Damages.</w:t>
      </w:r>
      <w:r>
        <w:rPr>
          <w:noProof/>
        </w:rPr>
        <w:tab/>
        <w:t>15</w:t>
      </w:r>
    </w:p>
    <w:p w14:paraId="07A95C4D" w14:textId="58CE7115"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3.3</w:t>
      </w:r>
      <w:r>
        <w:rPr>
          <w:rFonts w:asciiTheme="minorHAnsi" w:eastAsiaTheme="minorEastAsia" w:hAnsiTheme="minorHAnsi" w:cstheme="minorBidi"/>
          <w:noProof/>
          <w:sz w:val="22"/>
          <w:szCs w:val="22"/>
        </w:rPr>
        <w:tab/>
      </w:r>
      <w:r w:rsidRPr="00616016">
        <w:rPr>
          <w:rStyle w:val="Hyperlink"/>
          <w:noProof/>
        </w:rPr>
        <w:t>Construction and Changes in Capacity.</w:t>
      </w:r>
      <w:r>
        <w:rPr>
          <w:noProof/>
        </w:rPr>
        <w:tab/>
        <w:t>16</w:t>
      </w:r>
    </w:p>
    <w:p w14:paraId="0746B118" w14:textId="2FF894BB"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3.4</w:t>
      </w:r>
      <w:r>
        <w:rPr>
          <w:rFonts w:asciiTheme="minorHAnsi" w:eastAsiaTheme="minorEastAsia" w:hAnsiTheme="minorHAnsi" w:cstheme="minorBidi"/>
          <w:noProof/>
          <w:sz w:val="22"/>
          <w:szCs w:val="22"/>
        </w:rPr>
        <w:tab/>
      </w:r>
      <w:r w:rsidRPr="00616016">
        <w:rPr>
          <w:rStyle w:val="Hyperlink"/>
          <w:noProof/>
        </w:rPr>
        <w:t>Commercial Operation.</w:t>
      </w:r>
      <w:r>
        <w:rPr>
          <w:noProof/>
        </w:rPr>
        <w:tab/>
        <w:t>16</w:t>
      </w:r>
    </w:p>
    <w:p w14:paraId="3E04A542" w14:textId="426E34E7"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3.5</w:t>
      </w:r>
      <w:r>
        <w:rPr>
          <w:rFonts w:asciiTheme="minorHAnsi" w:eastAsiaTheme="minorEastAsia" w:hAnsiTheme="minorHAnsi" w:cstheme="minorBidi"/>
          <w:noProof/>
          <w:sz w:val="22"/>
          <w:szCs w:val="22"/>
        </w:rPr>
        <w:tab/>
      </w:r>
      <w:r w:rsidRPr="00616016">
        <w:rPr>
          <w:rStyle w:val="Hyperlink"/>
          <w:noProof/>
        </w:rPr>
        <w:t>Operation of the Facility.</w:t>
      </w:r>
      <w:r>
        <w:rPr>
          <w:noProof/>
        </w:rPr>
        <w:tab/>
        <w:t>18</w:t>
      </w:r>
    </w:p>
    <w:p w14:paraId="5344B003" w14:textId="4070A1CF"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3.6</w:t>
      </w:r>
      <w:r>
        <w:rPr>
          <w:rFonts w:asciiTheme="minorHAnsi" w:eastAsiaTheme="minorEastAsia" w:hAnsiTheme="minorHAnsi" w:cstheme="minorBidi"/>
          <w:noProof/>
          <w:sz w:val="22"/>
          <w:szCs w:val="22"/>
        </w:rPr>
        <w:tab/>
      </w:r>
      <w:r w:rsidRPr="00616016">
        <w:rPr>
          <w:rStyle w:val="Hyperlink"/>
          <w:noProof/>
        </w:rPr>
        <w:t>Interconnection and Delivery Services.</w:t>
      </w:r>
      <w:r>
        <w:rPr>
          <w:noProof/>
        </w:rPr>
        <w:tab/>
        <w:t>21</w:t>
      </w:r>
    </w:p>
    <w:p w14:paraId="0D215788" w14:textId="71967506"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3.7</w:t>
      </w:r>
      <w:r>
        <w:rPr>
          <w:rFonts w:asciiTheme="minorHAnsi" w:eastAsiaTheme="minorEastAsia" w:hAnsiTheme="minorHAnsi" w:cstheme="minorBidi"/>
          <w:noProof/>
          <w:sz w:val="22"/>
          <w:szCs w:val="22"/>
        </w:rPr>
        <w:tab/>
      </w:r>
      <w:r w:rsidRPr="00616016">
        <w:rPr>
          <w:rStyle w:val="Hyperlink"/>
          <w:noProof/>
        </w:rPr>
        <w:t>Forward Capacity Market Participation.</w:t>
      </w:r>
      <w:r>
        <w:rPr>
          <w:noProof/>
        </w:rPr>
        <w:tab/>
        <w:t>21</w:t>
      </w:r>
    </w:p>
    <w:p w14:paraId="5327BA39" w14:textId="1E14106D"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4.</w:t>
      </w:r>
      <w:r>
        <w:rPr>
          <w:rFonts w:asciiTheme="minorHAnsi" w:eastAsiaTheme="minorEastAsia" w:hAnsiTheme="minorHAnsi" w:cstheme="minorBidi"/>
          <w:noProof/>
          <w:sz w:val="22"/>
          <w:szCs w:val="22"/>
        </w:rPr>
        <w:tab/>
      </w:r>
      <w:r w:rsidRPr="00616016">
        <w:rPr>
          <w:rStyle w:val="Hyperlink"/>
          <w:noProof/>
        </w:rPr>
        <w:t>DELIVERY OF PRODUCTS</w:t>
      </w:r>
      <w:r>
        <w:rPr>
          <w:noProof/>
        </w:rPr>
        <w:tab/>
        <w:t>22</w:t>
      </w:r>
    </w:p>
    <w:p w14:paraId="361FF0ED" w14:textId="474844D9"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4.1</w:t>
      </w:r>
      <w:r>
        <w:rPr>
          <w:rFonts w:asciiTheme="minorHAnsi" w:eastAsiaTheme="minorEastAsia" w:hAnsiTheme="minorHAnsi" w:cstheme="minorBidi"/>
          <w:noProof/>
          <w:sz w:val="22"/>
          <w:szCs w:val="22"/>
        </w:rPr>
        <w:tab/>
      </w:r>
      <w:r w:rsidRPr="00616016">
        <w:rPr>
          <w:rStyle w:val="Hyperlink"/>
          <w:noProof/>
        </w:rPr>
        <w:t>Obligation to Sell and Purchase Products.</w:t>
      </w:r>
      <w:r>
        <w:rPr>
          <w:noProof/>
        </w:rPr>
        <w:tab/>
        <w:t>22</w:t>
      </w:r>
    </w:p>
    <w:p w14:paraId="026A943C" w14:textId="4E268D6C"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4.2</w:t>
      </w:r>
      <w:r>
        <w:rPr>
          <w:rFonts w:asciiTheme="minorHAnsi" w:eastAsiaTheme="minorEastAsia" w:hAnsiTheme="minorHAnsi" w:cstheme="minorBidi"/>
          <w:noProof/>
          <w:sz w:val="22"/>
          <w:szCs w:val="22"/>
        </w:rPr>
        <w:tab/>
      </w:r>
      <w:r w:rsidRPr="00616016">
        <w:rPr>
          <w:rStyle w:val="Hyperlink"/>
          <w:noProof/>
        </w:rPr>
        <w:t>Scheduling and Delivery.</w:t>
      </w:r>
      <w:r>
        <w:rPr>
          <w:noProof/>
        </w:rPr>
        <w:tab/>
        <w:t>22</w:t>
      </w:r>
    </w:p>
    <w:p w14:paraId="4DC576FF" w14:textId="1688729D"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4.3</w:t>
      </w:r>
      <w:r>
        <w:rPr>
          <w:rFonts w:asciiTheme="minorHAnsi" w:eastAsiaTheme="minorEastAsia" w:hAnsiTheme="minorHAnsi" w:cstheme="minorBidi"/>
          <w:noProof/>
          <w:sz w:val="22"/>
          <w:szCs w:val="22"/>
        </w:rPr>
        <w:tab/>
      </w:r>
      <w:r w:rsidRPr="00616016">
        <w:rPr>
          <w:rStyle w:val="Hyperlink"/>
          <w:noProof/>
        </w:rPr>
        <w:t>Failure of Seller to Deliver Products.</w:t>
      </w:r>
      <w:r>
        <w:rPr>
          <w:noProof/>
        </w:rPr>
        <w:tab/>
        <w:t>23</w:t>
      </w:r>
    </w:p>
    <w:p w14:paraId="2B72ED22" w14:textId="61727FEB"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4.4</w:t>
      </w:r>
      <w:r>
        <w:rPr>
          <w:rFonts w:asciiTheme="minorHAnsi" w:eastAsiaTheme="minorEastAsia" w:hAnsiTheme="minorHAnsi" w:cstheme="minorBidi"/>
          <w:noProof/>
          <w:sz w:val="22"/>
          <w:szCs w:val="22"/>
        </w:rPr>
        <w:tab/>
      </w:r>
      <w:r w:rsidRPr="00616016">
        <w:rPr>
          <w:rStyle w:val="Hyperlink"/>
          <w:noProof/>
        </w:rPr>
        <w:t>Failure by Buyer to Accept Delivery of Products. .</w:t>
      </w:r>
      <w:r>
        <w:rPr>
          <w:noProof/>
        </w:rPr>
        <w:tab/>
        <w:t>24</w:t>
      </w:r>
    </w:p>
    <w:p w14:paraId="72FFE952" w14:textId="4F67930D"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4.5</w:t>
      </w:r>
      <w:r>
        <w:rPr>
          <w:rFonts w:asciiTheme="minorHAnsi" w:eastAsiaTheme="minorEastAsia" w:hAnsiTheme="minorHAnsi" w:cstheme="minorBidi"/>
          <w:noProof/>
          <w:sz w:val="22"/>
          <w:szCs w:val="22"/>
        </w:rPr>
        <w:tab/>
      </w:r>
      <w:r w:rsidRPr="00616016">
        <w:rPr>
          <w:rStyle w:val="Hyperlink"/>
          <w:noProof/>
        </w:rPr>
        <w:t>Delivery Point.</w:t>
      </w:r>
      <w:r>
        <w:rPr>
          <w:noProof/>
        </w:rPr>
        <w:tab/>
        <w:t>24</w:t>
      </w:r>
    </w:p>
    <w:p w14:paraId="5EA6E2ED" w14:textId="2FE26214"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4.6</w:t>
      </w:r>
      <w:r>
        <w:rPr>
          <w:rFonts w:asciiTheme="minorHAnsi" w:eastAsiaTheme="minorEastAsia" w:hAnsiTheme="minorHAnsi" w:cstheme="minorBidi"/>
          <w:noProof/>
          <w:sz w:val="22"/>
          <w:szCs w:val="22"/>
        </w:rPr>
        <w:tab/>
      </w:r>
      <w:r w:rsidRPr="00616016">
        <w:rPr>
          <w:rStyle w:val="Hyperlink"/>
          <w:noProof/>
        </w:rPr>
        <w:t>Metering.</w:t>
      </w:r>
      <w:r>
        <w:rPr>
          <w:noProof/>
        </w:rPr>
        <w:tab/>
        <w:t>24</w:t>
      </w:r>
    </w:p>
    <w:p w14:paraId="435C8CEB" w14:textId="03B40D4C"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4.7</w:t>
      </w:r>
      <w:r>
        <w:rPr>
          <w:rFonts w:asciiTheme="minorHAnsi" w:eastAsiaTheme="minorEastAsia" w:hAnsiTheme="minorHAnsi" w:cstheme="minorBidi"/>
          <w:noProof/>
          <w:sz w:val="22"/>
          <w:szCs w:val="22"/>
        </w:rPr>
        <w:tab/>
      </w:r>
      <w:r w:rsidRPr="00616016">
        <w:rPr>
          <w:rStyle w:val="Hyperlink"/>
          <w:noProof/>
        </w:rPr>
        <w:t>RECs.</w:t>
      </w:r>
      <w:r>
        <w:rPr>
          <w:noProof/>
        </w:rPr>
        <w:tab/>
        <w:t>25</w:t>
      </w:r>
    </w:p>
    <w:p w14:paraId="5096DFA6" w14:textId="4D0671A2"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4.8</w:t>
      </w:r>
      <w:r>
        <w:rPr>
          <w:rFonts w:asciiTheme="minorHAnsi" w:eastAsiaTheme="minorEastAsia" w:hAnsiTheme="minorHAnsi" w:cstheme="minorBidi"/>
          <w:noProof/>
          <w:sz w:val="22"/>
          <w:szCs w:val="22"/>
        </w:rPr>
        <w:tab/>
      </w:r>
      <w:r w:rsidRPr="00616016">
        <w:rPr>
          <w:rStyle w:val="Hyperlink"/>
          <w:noProof/>
        </w:rPr>
        <w:t>Production During Test Period..</w:t>
      </w:r>
      <w:r>
        <w:rPr>
          <w:noProof/>
        </w:rPr>
        <w:tab/>
        <w:t>27</w:t>
      </w:r>
    </w:p>
    <w:p w14:paraId="470EB9B2" w14:textId="7E00A840"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4.9</w:t>
      </w:r>
      <w:r>
        <w:rPr>
          <w:rFonts w:asciiTheme="minorHAnsi" w:eastAsiaTheme="minorEastAsia" w:hAnsiTheme="minorHAnsi" w:cstheme="minorBidi"/>
          <w:noProof/>
          <w:sz w:val="22"/>
          <w:szCs w:val="22"/>
        </w:rPr>
        <w:tab/>
      </w:r>
      <w:r w:rsidRPr="00616016">
        <w:rPr>
          <w:rStyle w:val="Hyperlink"/>
          <w:noProof/>
        </w:rPr>
        <w:t>Biennial Delivery Requirement..</w:t>
      </w:r>
      <w:r>
        <w:rPr>
          <w:noProof/>
        </w:rPr>
        <w:tab/>
        <w:t>27</w:t>
      </w:r>
    </w:p>
    <w:p w14:paraId="1AF6CC11" w14:textId="263924D4"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5.</w:t>
      </w:r>
      <w:r>
        <w:rPr>
          <w:rFonts w:asciiTheme="minorHAnsi" w:eastAsiaTheme="minorEastAsia" w:hAnsiTheme="minorHAnsi" w:cstheme="minorBidi"/>
          <w:noProof/>
          <w:sz w:val="22"/>
          <w:szCs w:val="22"/>
        </w:rPr>
        <w:tab/>
      </w:r>
      <w:r w:rsidRPr="00616016">
        <w:rPr>
          <w:rStyle w:val="Hyperlink"/>
          <w:noProof/>
        </w:rPr>
        <w:t>PRICE AND PAYMENTS FOR PRODUCTS</w:t>
      </w:r>
      <w:r>
        <w:rPr>
          <w:noProof/>
        </w:rPr>
        <w:tab/>
        <w:t>27</w:t>
      </w:r>
    </w:p>
    <w:p w14:paraId="08FF58F5" w14:textId="1E66CDCE"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5.1</w:t>
      </w:r>
      <w:r>
        <w:rPr>
          <w:rFonts w:asciiTheme="minorHAnsi" w:eastAsiaTheme="minorEastAsia" w:hAnsiTheme="minorHAnsi" w:cstheme="minorBidi"/>
          <w:noProof/>
          <w:sz w:val="22"/>
          <w:szCs w:val="22"/>
        </w:rPr>
        <w:tab/>
      </w:r>
      <w:r w:rsidRPr="00616016">
        <w:rPr>
          <w:rStyle w:val="Hyperlink"/>
          <w:noProof/>
        </w:rPr>
        <w:t>Price for Products. .</w:t>
      </w:r>
      <w:r>
        <w:rPr>
          <w:noProof/>
        </w:rPr>
        <w:tab/>
        <w:t>27</w:t>
      </w:r>
    </w:p>
    <w:p w14:paraId="47046BFF" w14:textId="3466CEDF"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5.2</w:t>
      </w:r>
      <w:r>
        <w:rPr>
          <w:rFonts w:asciiTheme="minorHAnsi" w:eastAsiaTheme="minorEastAsia" w:hAnsiTheme="minorHAnsi" w:cstheme="minorBidi"/>
          <w:noProof/>
          <w:sz w:val="22"/>
          <w:szCs w:val="22"/>
        </w:rPr>
        <w:tab/>
      </w:r>
      <w:r w:rsidRPr="00616016">
        <w:rPr>
          <w:rStyle w:val="Hyperlink"/>
          <w:noProof/>
        </w:rPr>
        <w:t>Payment and Netting.</w:t>
      </w:r>
      <w:r>
        <w:rPr>
          <w:noProof/>
        </w:rPr>
        <w:tab/>
        <w:t>28</w:t>
      </w:r>
    </w:p>
    <w:p w14:paraId="0FAFE9EF" w14:textId="4D700616"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5.3</w:t>
      </w:r>
      <w:r>
        <w:rPr>
          <w:rFonts w:asciiTheme="minorHAnsi" w:eastAsiaTheme="minorEastAsia" w:hAnsiTheme="minorHAnsi" w:cstheme="minorBidi"/>
          <w:noProof/>
          <w:sz w:val="22"/>
          <w:szCs w:val="22"/>
        </w:rPr>
        <w:tab/>
      </w:r>
      <w:r w:rsidRPr="00616016">
        <w:rPr>
          <w:rStyle w:val="Hyperlink"/>
          <w:noProof/>
        </w:rPr>
        <w:t>Interest on Late Payment or Refund..</w:t>
      </w:r>
      <w:r>
        <w:rPr>
          <w:noProof/>
        </w:rPr>
        <w:tab/>
        <w:t>29</w:t>
      </w:r>
    </w:p>
    <w:p w14:paraId="6AAE368F" w14:textId="6300BF95"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5.4</w:t>
      </w:r>
      <w:r>
        <w:rPr>
          <w:rFonts w:asciiTheme="minorHAnsi" w:eastAsiaTheme="minorEastAsia" w:hAnsiTheme="minorHAnsi" w:cstheme="minorBidi"/>
          <w:noProof/>
          <w:sz w:val="22"/>
          <w:szCs w:val="22"/>
        </w:rPr>
        <w:tab/>
      </w:r>
      <w:r w:rsidRPr="00616016">
        <w:rPr>
          <w:rStyle w:val="Hyperlink"/>
          <w:noProof/>
        </w:rPr>
        <w:t>Taxes, Fees and Levies.</w:t>
      </w:r>
      <w:r>
        <w:rPr>
          <w:noProof/>
        </w:rPr>
        <w:tab/>
        <w:t>29</w:t>
      </w:r>
    </w:p>
    <w:p w14:paraId="387009C1" w14:textId="4C128C03" w:rsidR="008D7468" w:rsidRDefault="008D7468" w:rsidP="009C58F9">
      <w:pPr>
        <w:pStyle w:val="TOC1"/>
        <w:rPr>
          <w:rFonts w:asciiTheme="minorHAnsi" w:eastAsiaTheme="minorEastAsia" w:hAnsiTheme="minorHAnsi" w:cstheme="minorBidi"/>
          <w:noProof/>
          <w:sz w:val="22"/>
          <w:szCs w:val="22"/>
        </w:rPr>
      </w:pPr>
      <w:r w:rsidRPr="00616016">
        <w:rPr>
          <w:rStyle w:val="Hyperlink"/>
          <w:rFonts w:ascii="Times New Roman Bold" w:hAnsi="Times New Roman Bold"/>
          <w:noProof/>
          <w:u w:color="000000"/>
        </w:rPr>
        <w:t>6.</w:t>
      </w:r>
      <w:r>
        <w:rPr>
          <w:rFonts w:asciiTheme="minorHAnsi" w:eastAsiaTheme="minorEastAsia" w:hAnsiTheme="minorHAnsi" w:cstheme="minorBidi"/>
          <w:noProof/>
          <w:sz w:val="22"/>
          <w:szCs w:val="22"/>
        </w:rPr>
        <w:tab/>
      </w:r>
      <w:r w:rsidRPr="00616016">
        <w:rPr>
          <w:rStyle w:val="Hyperlink"/>
          <w:noProof/>
        </w:rPr>
        <w:t>SECURITY FOR PERFORMANCE</w:t>
      </w:r>
      <w:r>
        <w:rPr>
          <w:noProof/>
        </w:rPr>
        <w:tab/>
        <w:t>30</w:t>
      </w:r>
    </w:p>
    <w:p w14:paraId="3D3309FB" w14:textId="07F38F3C"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t>6.1</w:t>
      </w:r>
      <w:r>
        <w:rPr>
          <w:rFonts w:asciiTheme="minorHAnsi" w:eastAsiaTheme="minorEastAsia" w:hAnsiTheme="minorHAnsi" w:cstheme="minorBidi"/>
          <w:noProof/>
          <w:sz w:val="22"/>
          <w:szCs w:val="22"/>
        </w:rPr>
        <w:tab/>
      </w:r>
      <w:r w:rsidRPr="00616016">
        <w:rPr>
          <w:rStyle w:val="Hyperlink"/>
          <w:noProof/>
        </w:rPr>
        <w:t>Grant of Security Interest. .</w:t>
      </w:r>
      <w:r>
        <w:rPr>
          <w:noProof/>
        </w:rPr>
        <w:tab/>
        <w:t>30</w:t>
      </w:r>
    </w:p>
    <w:p w14:paraId="6A12A5FE" w14:textId="68875C43" w:rsidR="008D7468" w:rsidRDefault="008D7468">
      <w:pPr>
        <w:pStyle w:val="TOC2"/>
        <w:rPr>
          <w:rFonts w:asciiTheme="minorHAnsi" w:eastAsiaTheme="minorEastAsia" w:hAnsiTheme="minorHAnsi" w:cstheme="minorBidi"/>
          <w:noProof/>
          <w:sz w:val="22"/>
          <w:szCs w:val="22"/>
        </w:rPr>
      </w:pPr>
      <w:r w:rsidRPr="00616016">
        <w:rPr>
          <w:rStyle w:val="Hyperlink"/>
          <w:noProof/>
          <w:u w:color="000000"/>
        </w:rPr>
        <w:lastRenderedPageBreak/>
        <w:t>6.2</w:t>
      </w:r>
      <w:r>
        <w:rPr>
          <w:rFonts w:asciiTheme="minorHAnsi" w:eastAsiaTheme="minorEastAsia" w:hAnsiTheme="minorHAnsi" w:cstheme="minorBidi"/>
          <w:noProof/>
          <w:sz w:val="22"/>
          <w:szCs w:val="22"/>
        </w:rPr>
        <w:tab/>
      </w:r>
      <w:r w:rsidRPr="006620CE">
        <w:rPr>
          <w:rStyle w:val="Hyperlink"/>
          <w:noProof/>
        </w:rPr>
        <w:t>Seller’s Support.</w:t>
      </w:r>
      <w:r>
        <w:rPr>
          <w:noProof/>
        </w:rPr>
        <w:tab/>
        <w:t>30</w:t>
      </w:r>
    </w:p>
    <w:p w14:paraId="6876E9DF" w14:textId="77C20D81"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6.3</w:t>
      </w:r>
      <w:r>
        <w:rPr>
          <w:rFonts w:asciiTheme="minorHAnsi" w:eastAsiaTheme="minorEastAsia" w:hAnsiTheme="minorHAnsi" w:cstheme="minorBidi"/>
          <w:noProof/>
          <w:sz w:val="22"/>
          <w:szCs w:val="22"/>
        </w:rPr>
        <w:tab/>
      </w:r>
      <w:r w:rsidRPr="006620CE">
        <w:rPr>
          <w:rStyle w:val="Hyperlink"/>
          <w:noProof/>
        </w:rPr>
        <w:t>Delivery of Credit Support.</w:t>
      </w:r>
      <w:r>
        <w:rPr>
          <w:noProof/>
        </w:rPr>
        <w:tab/>
        <w:t>31</w:t>
      </w:r>
    </w:p>
    <w:p w14:paraId="34F6FFBB" w14:textId="1759D616"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6.4</w:t>
      </w:r>
      <w:r>
        <w:rPr>
          <w:rFonts w:asciiTheme="minorHAnsi" w:eastAsiaTheme="minorEastAsia" w:hAnsiTheme="minorHAnsi" w:cstheme="minorBidi"/>
          <w:noProof/>
          <w:sz w:val="22"/>
          <w:szCs w:val="22"/>
        </w:rPr>
        <w:tab/>
      </w:r>
      <w:r w:rsidRPr="006620CE">
        <w:rPr>
          <w:rStyle w:val="Hyperlink"/>
          <w:noProof/>
        </w:rPr>
        <w:t>Reduction and Substitution of Posted Collateral.</w:t>
      </w:r>
      <w:r>
        <w:rPr>
          <w:noProof/>
        </w:rPr>
        <w:tab/>
        <w:t>31</w:t>
      </w:r>
    </w:p>
    <w:p w14:paraId="02BD7C1C" w14:textId="68B51909"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6.5</w:t>
      </w:r>
      <w:r>
        <w:rPr>
          <w:rFonts w:asciiTheme="minorHAnsi" w:eastAsiaTheme="minorEastAsia" w:hAnsiTheme="minorHAnsi" w:cstheme="minorBidi"/>
          <w:noProof/>
          <w:sz w:val="22"/>
          <w:szCs w:val="22"/>
        </w:rPr>
        <w:tab/>
      </w:r>
      <w:r w:rsidRPr="006620CE">
        <w:rPr>
          <w:rStyle w:val="Hyperlink"/>
          <w:noProof/>
        </w:rPr>
        <w:t>Administration of Posted Collateral.</w:t>
      </w:r>
      <w:r>
        <w:rPr>
          <w:noProof/>
        </w:rPr>
        <w:tab/>
        <w:t>32</w:t>
      </w:r>
    </w:p>
    <w:p w14:paraId="3A4EE31D" w14:textId="4EE04464"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6.6</w:t>
      </w:r>
      <w:r>
        <w:rPr>
          <w:rFonts w:asciiTheme="minorHAnsi" w:eastAsiaTheme="minorEastAsia" w:hAnsiTheme="minorHAnsi" w:cstheme="minorBidi"/>
          <w:noProof/>
          <w:sz w:val="22"/>
          <w:szCs w:val="22"/>
        </w:rPr>
        <w:tab/>
      </w:r>
      <w:r w:rsidRPr="006620CE">
        <w:rPr>
          <w:rStyle w:val="Hyperlink"/>
          <w:noProof/>
        </w:rPr>
        <w:t>Exercise of Rights Against Posted Collateral</w:t>
      </w:r>
      <w:r>
        <w:rPr>
          <w:noProof/>
        </w:rPr>
        <w:tab/>
        <w:t>35</w:t>
      </w:r>
    </w:p>
    <w:p w14:paraId="7F6B9811" w14:textId="757E2695"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6.7</w:t>
      </w:r>
      <w:r>
        <w:rPr>
          <w:rFonts w:asciiTheme="minorHAnsi" w:eastAsiaTheme="minorEastAsia" w:hAnsiTheme="minorHAnsi" w:cstheme="minorBidi"/>
          <w:noProof/>
          <w:sz w:val="22"/>
          <w:szCs w:val="22"/>
        </w:rPr>
        <w:tab/>
      </w:r>
      <w:r w:rsidRPr="006620CE">
        <w:rPr>
          <w:rStyle w:val="Hyperlink"/>
          <w:noProof/>
        </w:rPr>
        <w:t>Return of Credit Support..</w:t>
      </w:r>
      <w:r>
        <w:rPr>
          <w:noProof/>
        </w:rPr>
        <w:tab/>
        <w:t>36</w:t>
      </w:r>
    </w:p>
    <w:p w14:paraId="5DB5AE6C" w14:textId="71569D70"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7.</w:t>
      </w:r>
      <w:r>
        <w:rPr>
          <w:rFonts w:asciiTheme="minorHAnsi" w:eastAsiaTheme="minorEastAsia" w:hAnsiTheme="minorHAnsi" w:cstheme="minorBidi"/>
          <w:noProof/>
          <w:sz w:val="22"/>
          <w:szCs w:val="22"/>
        </w:rPr>
        <w:tab/>
      </w:r>
      <w:r w:rsidRPr="006620CE">
        <w:rPr>
          <w:rStyle w:val="Hyperlink"/>
          <w:noProof/>
        </w:rPr>
        <w:t>REPRESENTATIONS, WARRANTIES, COVENANTS AND ACKNOWLEDGEMENTS</w:t>
      </w:r>
      <w:r>
        <w:rPr>
          <w:noProof/>
        </w:rPr>
        <w:tab/>
        <w:t>36</w:t>
      </w:r>
    </w:p>
    <w:p w14:paraId="1DF154F4" w14:textId="4FA668C2"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7.1</w:t>
      </w:r>
      <w:r>
        <w:rPr>
          <w:rFonts w:asciiTheme="minorHAnsi" w:eastAsiaTheme="minorEastAsia" w:hAnsiTheme="minorHAnsi" w:cstheme="minorBidi"/>
          <w:noProof/>
          <w:sz w:val="22"/>
          <w:szCs w:val="22"/>
        </w:rPr>
        <w:tab/>
      </w:r>
      <w:r w:rsidRPr="006620CE">
        <w:rPr>
          <w:rStyle w:val="Hyperlink"/>
          <w:noProof/>
        </w:rPr>
        <w:t>Representations and Warranties of Buyer.</w:t>
      </w:r>
      <w:r>
        <w:rPr>
          <w:noProof/>
        </w:rPr>
        <w:tab/>
        <w:t>36</w:t>
      </w:r>
    </w:p>
    <w:p w14:paraId="4E54E7CF" w14:textId="358B118A"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7.2</w:t>
      </w:r>
      <w:r>
        <w:rPr>
          <w:rFonts w:asciiTheme="minorHAnsi" w:eastAsiaTheme="minorEastAsia" w:hAnsiTheme="minorHAnsi" w:cstheme="minorBidi"/>
          <w:noProof/>
          <w:sz w:val="22"/>
          <w:szCs w:val="22"/>
        </w:rPr>
        <w:tab/>
      </w:r>
      <w:r w:rsidRPr="006620CE">
        <w:rPr>
          <w:rStyle w:val="Hyperlink"/>
          <w:noProof/>
        </w:rPr>
        <w:t>Representations and Warranties of Seller.</w:t>
      </w:r>
      <w:r>
        <w:rPr>
          <w:noProof/>
        </w:rPr>
        <w:tab/>
        <w:t>37</w:t>
      </w:r>
    </w:p>
    <w:p w14:paraId="2A4DE1DE" w14:textId="01CE8AEB"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7.3</w:t>
      </w:r>
      <w:r>
        <w:rPr>
          <w:rFonts w:asciiTheme="minorHAnsi" w:eastAsiaTheme="minorEastAsia" w:hAnsiTheme="minorHAnsi" w:cstheme="minorBidi"/>
          <w:noProof/>
          <w:sz w:val="22"/>
          <w:szCs w:val="22"/>
        </w:rPr>
        <w:tab/>
      </w:r>
      <w:r w:rsidRPr="006620CE">
        <w:rPr>
          <w:rStyle w:val="Hyperlink"/>
          <w:noProof/>
        </w:rPr>
        <w:t>Continuing Nature of Representations and Warranties.</w:t>
      </w:r>
      <w:r>
        <w:rPr>
          <w:noProof/>
        </w:rPr>
        <w:tab/>
        <w:t>39</w:t>
      </w:r>
    </w:p>
    <w:p w14:paraId="08DECA2F" w14:textId="1FDB4A1F"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8.</w:t>
      </w:r>
      <w:r>
        <w:rPr>
          <w:rFonts w:asciiTheme="minorHAnsi" w:eastAsiaTheme="minorEastAsia" w:hAnsiTheme="minorHAnsi" w:cstheme="minorBidi"/>
          <w:noProof/>
          <w:sz w:val="22"/>
          <w:szCs w:val="22"/>
        </w:rPr>
        <w:tab/>
      </w:r>
      <w:r w:rsidRPr="006620CE">
        <w:rPr>
          <w:rStyle w:val="Hyperlink"/>
          <w:noProof/>
        </w:rPr>
        <w:t>REGULATORY APPROVAL</w:t>
      </w:r>
      <w:r>
        <w:rPr>
          <w:noProof/>
        </w:rPr>
        <w:tab/>
        <w:t>39</w:t>
      </w:r>
    </w:p>
    <w:p w14:paraId="65FF19F4" w14:textId="4885BA96"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8.1</w:t>
      </w:r>
      <w:r>
        <w:rPr>
          <w:rFonts w:asciiTheme="minorHAnsi" w:eastAsiaTheme="minorEastAsia" w:hAnsiTheme="minorHAnsi" w:cstheme="minorBidi"/>
          <w:noProof/>
          <w:sz w:val="22"/>
          <w:szCs w:val="22"/>
        </w:rPr>
        <w:tab/>
      </w:r>
      <w:r w:rsidRPr="006620CE">
        <w:rPr>
          <w:rStyle w:val="Hyperlink"/>
          <w:noProof/>
        </w:rPr>
        <w:t>Receipt of Regulatory Approval.</w:t>
      </w:r>
      <w:r>
        <w:rPr>
          <w:noProof/>
        </w:rPr>
        <w:tab/>
        <w:t>39</w:t>
      </w:r>
    </w:p>
    <w:p w14:paraId="06939E47" w14:textId="55E05E9F"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8.2</w:t>
      </w:r>
      <w:r>
        <w:rPr>
          <w:rFonts w:asciiTheme="minorHAnsi" w:eastAsiaTheme="minorEastAsia" w:hAnsiTheme="minorHAnsi" w:cstheme="minorBidi"/>
          <w:noProof/>
          <w:sz w:val="22"/>
          <w:szCs w:val="22"/>
        </w:rPr>
        <w:tab/>
      </w:r>
      <w:r w:rsidRPr="006620CE">
        <w:rPr>
          <w:rStyle w:val="Hyperlink"/>
          <w:noProof/>
        </w:rPr>
        <w:t>Related Transmission Approvals.</w:t>
      </w:r>
      <w:r>
        <w:rPr>
          <w:noProof/>
        </w:rPr>
        <w:tab/>
        <w:t>40</w:t>
      </w:r>
    </w:p>
    <w:p w14:paraId="682BCE33" w14:textId="19482A88"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9.</w:t>
      </w:r>
      <w:r>
        <w:rPr>
          <w:rFonts w:asciiTheme="minorHAnsi" w:eastAsiaTheme="minorEastAsia" w:hAnsiTheme="minorHAnsi" w:cstheme="minorBidi"/>
          <w:noProof/>
          <w:sz w:val="22"/>
          <w:szCs w:val="22"/>
        </w:rPr>
        <w:tab/>
      </w:r>
      <w:r w:rsidRPr="006620CE">
        <w:rPr>
          <w:rStyle w:val="Hyperlink"/>
          <w:noProof/>
        </w:rPr>
        <w:t>BREACHES; REMEDIES</w:t>
      </w:r>
      <w:r>
        <w:rPr>
          <w:noProof/>
        </w:rPr>
        <w:tab/>
        <w:t>40</w:t>
      </w:r>
    </w:p>
    <w:p w14:paraId="73927482" w14:textId="26C18FFE"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9.1</w:t>
      </w:r>
      <w:r>
        <w:rPr>
          <w:rFonts w:asciiTheme="minorHAnsi" w:eastAsiaTheme="minorEastAsia" w:hAnsiTheme="minorHAnsi" w:cstheme="minorBidi"/>
          <w:noProof/>
          <w:sz w:val="22"/>
          <w:szCs w:val="22"/>
        </w:rPr>
        <w:tab/>
      </w:r>
      <w:r w:rsidRPr="006620CE">
        <w:rPr>
          <w:rStyle w:val="Hyperlink"/>
          <w:noProof/>
        </w:rPr>
        <w:t>Events of Default by Either Party.</w:t>
      </w:r>
      <w:r>
        <w:rPr>
          <w:noProof/>
        </w:rPr>
        <w:tab/>
        <w:t>40</w:t>
      </w:r>
    </w:p>
    <w:p w14:paraId="548C9457" w14:textId="4FEE87CF"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9.2</w:t>
      </w:r>
      <w:r>
        <w:rPr>
          <w:rFonts w:asciiTheme="minorHAnsi" w:eastAsiaTheme="minorEastAsia" w:hAnsiTheme="minorHAnsi" w:cstheme="minorBidi"/>
          <w:noProof/>
          <w:sz w:val="22"/>
          <w:szCs w:val="22"/>
        </w:rPr>
        <w:tab/>
      </w:r>
      <w:r w:rsidRPr="006620CE">
        <w:rPr>
          <w:rStyle w:val="Hyperlink"/>
          <w:noProof/>
        </w:rPr>
        <w:t>Events of Default by Seller.</w:t>
      </w:r>
      <w:r>
        <w:rPr>
          <w:noProof/>
        </w:rPr>
        <w:tab/>
        <w:t>41</w:t>
      </w:r>
    </w:p>
    <w:p w14:paraId="3023A3D9" w14:textId="0053F0B6"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9.3</w:t>
      </w:r>
      <w:r>
        <w:rPr>
          <w:rFonts w:asciiTheme="minorHAnsi" w:eastAsiaTheme="minorEastAsia" w:hAnsiTheme="minorHAnsi" w:cstheme="minorBidi"/>
          <w:noProof/>
          <w:sz w:val="22"/>
          <w:szCs w:val="22"/>
        </w:rPr>
        <w:tab/>
      </w:r>
      <w:r w:rsidRPr="006620CE">
        <w:rPr>
          <w:rStyle w:val="Hyperlink"/>
          <w:noProof/>
        </w:rPr>
        <w:t>Remedies.</w:t>
      </w:r>
      <w:r>
        <w:rPr>
          <w:noProof/>
        </w:rPr>
        <w:tab/>
        <w:t>42</w:t>
      </w:r>
    </w:p>
    <w:p w14:paraId="6251984B" w14:textId="2BA100AF"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10.</w:t>
      </w:r>
      <w:r>
        <w:rPr>
          <w:rFonts w:asciiTheme="minorHAnsi" w:eastAsiaTheme="minorEastAsia" w:hAnsiTheme="minorHAnsi" w:cstheme="minorBidi"/>
          <w:noProof/>
          <w:sz w:val="22"/>
          <w:szCs w:val="22"/>
        </w:rPr>
        <w:tab/>
      </w:r>
      <w:r w:rsidRPr="006620CE">
        <w:rPr>
          <w:rStyle w:val="Hyperlink"/>
          <w:noProof/>
        </w:rPr>
        <w:t>FORCE MAJEURE</w:t>
      </w:r>
      <w:r>
        <w:rPr>
          <w:noProof/>
        </w:rPr>
        <w:tab/>
        <w:t>46</w:t>
      </w:r>
    </w:p>
    <w:p w14:paraId="6F4C54A1" w14:textId="67329E36"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10.1</w:t>
      </w:r>
      <w:r>
        <w:rPr>
          <w:rFonts w:asciiTheme="minorHAnsi" w:eastAsiaTheme="minorEastAsia" w:hAnsiTheme="minorHAnsi" w:cstheme="minorBidi"/>
          <w:noProof/>
          <w:sz w:val="22"/>
          <w:szCs w:val="22"/>
        </w:rPr>
        <w:tab/>
      </w:r>
      <w:r w:rsidRPr="006620CE">
        <w:rPr>
          <w:rStyle w:val="Hyperlink"/>
          <w:noProof/>
        </w:rPr>
        <w:t>Force Majeure.</w:t>
      </w:r>
      <w:r>
        <w:rPr>
          <w:noProof/>
        </w:rPr>
        <w:tab/>
        <w:t>46</w:t>
      </w:r>
    </w:p>
    <w:p w14:paraId="5E578718" w14:textId="49898B30"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11.</w:t>
      </w:r>
      <w:r>
        <w:rPr>
          <w:rFonts w:asciiTheme="minorHAnsi" w:eastAsiaTheme="minorEastAsia" w:hAnsiTheme="minorHAnsi" w:cstheme="minorBidi"/>
          <w:noProof/>
          <w:sz w:val="22"/>
          <w:szCs w:val="22"/>
        </w:rPr>
        <w:tab/>
      </w:r>
      <w:r w:rsidRPr="006620CE">
        <w:rPr>
          <w:rStyle w:val="Hyperlink"/>
          <w:noProof/>
        </w:rPr>
        <w:t>DISPUTE RESOLUTION</w:t>
      </w:r>
      <w:r>
        <w:rPr>
          <w:noProof/>
        </w:rPr>
        <w:tab/>
        <w:t>47</w:t>
      </w:r>
    </w:p>
    <w:p w14:paraId="5EE67F0E" w14:textId="46319394"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11.1</w:t>
      </w:r>
      <w:r>
        <w:rPr>
          <w:rFonts w:asciiTheme="minorHAnsi" w:eastAsiaTheme="minorEastAsia" w:hAnsiTheme="minorHAnsi" w:cstheme="minorBidi"/>
          <w:noProof/>
          <w:sz w:val="22"/>
          <w:szCs w:val="22"/>
        </w:rPr>
        <w:tab/>
      </w:r>
      <w:r w:rsidRPr="006620CE">
        <w:rPr>
          <w:rStyle w:val="Hyperlink"/>
          <w:noProof/>
        </w:rPr>
        <w:t>Dispute Resolution..</w:t>
      </w:r>
      <w:r>
        <w:rPr>
          <w:noProof/>
        </w:rPr>
        <w:tab/>
        <w:t>47</w:t>
      </w:r>
    </w:p>
    <w:p w14:paraId="4BA52609" w14:textId="677A8443"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11.2</w:t>
      </w:r>
      <w:r>
        <w:rPr>
          <w:rFonts w:asciiTheme="minorHAnsi" w:eastAsiaTheme="minorEastAsia" w:hAnsiTheme="minorHAnsi" w:cstheme="minorBidi"/>
          <w:noProof/>
          <w:sz w:val="22"/>
          <w:szCs w:val="22"/>
        </w:rPr>
        <w:tab/>
      </w:r>
      <w:r w:rsidRPr="006620CE">
        <w:rPr>
          <w:rStyle w:val="Hyperlink"/>
          <w:noProof/>
        </w:rPr>
        <w:t>Allocation of Dispute Costs.</w:t>
      </w:r>
      <w:r>
        <w:rPr>
          <w:noProof/>
        </w:rPr>
        <w:tab/>
        <w:t>47</w:t>
      </w:r>
    </w:p>
    <w:p w14:paraId="19B0FAF8" w14:textId="1A960A3F"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11.3</w:t>
      </w:r>
      <w:r>
        <w:rPr>
          <w:rFonts w:asciiTheme="minorHAnsi" w:eastAsiaTheme="minorEastAsia" w:hAnsiTheme="minorHAnsi" w:cstheme="minorBidi"/>
          <w:noProof/>
          <w:sz w:val="22"/>
          <w:szCs w:val="22"/>
        </w:rPr>
        <w:tab/>
      </w:r>
      <w:r w:rsidRPr="006620CE">
        <w:rPr>
          <w:rStyle w:val="Hyperlink"/>
          <w:noProof/>
        </w:rPr>
        <w:t>Consent to Jurisdiction..</w:t>
      </w:r>
      <w:r>
        <w:rPr>
          <w:noProof/>
        </w:rPr>
        <w:tab/>
        <w:t>47</w:t>
      </w:r>
    </w:p>
    <w:p w14:paraId="3598AB73" w14:textId="6A5912AB"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11.4</w:t>
      </w:r>
      <w:r>
        <w:rPr>
          <w:rFonts w:asciiTheme="minorHAnsi" w:eastAsiaTheme="minorEastAsia" w:hAnsiTheme="minorHAnsi" w:cstheme="minorBidi"/>
          <w:noProof/>
          <w:sz w:val="22"/>
          <w:szCs w:val="22"/>
        </w:rPr>
        <w:tab/>
      </w:r>
      <w:r w:rsidRPr="006620CE">
        <w:rPr>
          <w:rStyle w:val="Hyperlink"/>
          <w:noProof/>
        </w:rPr>
        <w:t>Waiver of Jury Trial and Inconvenient Forum Claim. .</w:t>
      </w:r>
      <w:r>
        <w:rPr>
          <w:noProof/>
        </w:rPr>
        <w:tab/>
        <w:t>47</w:t>
      </w:r>
    </w:p>
    <w:p w14:paraId="3CF62CD3" w14:textId="387409E5"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12.</w:t>
      </w:r>
      <w:r>
        <w:rPr>
          <w:rFonts w:asciiTheme="minorHAnsi" w:eastAsiaTheme="minorEastAsia" w:hAnsiTheme="minorHAnsi" w:cstheme="minorBidi"/>
          <w:noProof/>
          <w:sz w:val="22"/>
          <w:szCs w:val="22"/>
        </w:rPr>
        <w:tab/>
      </w:r>
      <w:r w:rsidRPr="006620CE">
        <w:rPr>
          <w:rStyle w:val="Hyperlink"/>
          <w:noProof/>
        </w:rPr>
        <w:t>CONFIDENTIALITY</w:t>
      </w:r>
      <w:r>
        <w:rPr>
          <w:noProof/>
        </w:rPr>
        <w:tab/>
        <w:t>47</w:t>
      </w:r>
    </w:p>
    <w:p w14:paraId="4B227085" w14:textId="3B5F17A5"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12.1</w:t>
      </w:r>
      <w:r>
        <w:rPr>
          <w:rFonts w:asciiTheme="minorHAnsi" w:eastAsiaTheme="minorEastAsia" w:hAnsiTheme="minorHAnsi" w:cstheme="minorBidi"/>
          <w:noProof/>
          <w:sz w:val="22"/>
          <w:szCs w:val="22"/>
        </w:rPr>
        <w:tab/>
      </w:r>
      <w:r w:rsidRPr="006620CE">
        <w:rPr>
          <w:rStyle w:val="Hyperlink"/>
          <w:noProof/>
        </w:rPr>
        <w:t>Nondisclosure.</w:t>
      </w:r>
      <w:r>
        <w:rPr>
          <w:noProof/>
        </w:rPr>
        <w:tab/>
        <w:t>47</w:t>
      </w:r>
    </w:p>
    <w:p w14:paraId="03437E4E" w14:textId="444351E0"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12.2</w:t>
      </w:r>
      <w:r>
        <w:rPr>
          <w:rFonts w:asciiTheme="minorHAnsi" w:eastAsiaTheme="minorEastAsia" w:hAnsiTheme="minorHAnsi" w:cstheme="minorBidi"/>
          <w:noProof/>
          <w:sz w:val="22"/>
          <w:szCs w:val="22"/>
        </w:rPr>
        <w:tab/>
      </w:r>
      <w:r w:rsidRPr="006620CE">
        <w:rPr>
          <w:rStyle w:val="Hyperlink"/>
          <w:noProof/>
        </w:rPr>
        <w:t>Public Statements.</w:t>
      </w:r>
      <w:r>
        <w:rPr>
          <w:noProof/>
        </w:rPr>
        <w:tab/>
        <w:t>48</w:t>
      </w:r>
    </w:p>
    <w:p w14:paraId="4F511D99" w14:textId="7EE8E809"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13.</w:t>
      </w:r>
      <w:r>
        <w:rPr>
          <w:rFonts w:asciiTheme="minorHAnsi" w:eastAsiaTheme="minorEastAsia" w:hAnsiTheme="minorHAnsi" w:cstheme="minorBidi"/>
          <w:noProof/>
          <w:sz w:val="22"/>
          <w:szCs w:val="22"/>
        </w:rPr>
        <w:tab/>
      </w:r>
      <w:r w:rsidRPr="006620CE">
        <w:rPr>
          <w:rStyle w:val="Hyperlink"/>
          <w:noProof/>
        </w:rPr>
        <w:t>INDEMNIFICATION</w:t>
      </w:r>
      <w:r>
        <w:rPr>
          <w:noProof/>
        </w:rPr>
        <w:tab/>
        <w:t>48</w:t>
      </w:r>
    </w:p>
    <w:p w14:paraId="75E95750" w14:textId="11A3AE07"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13.1</w:t>
      </w:r>
      <w:r>
        <w:rPr>
          <w:rFonts w:asciiTheme="minorHAnsi" w:eastAsiaTheme="minorEastAsia" w:hAnsiTheme="minorHAnsi" w:cstheme="minorBidi"/>
          <w:noProof/>
          <w:sz w:val="22"/>
          <w:szCs w:val="22"/>
        </w:rPr>
        <w:tab/>
      </w:r>
      <w:r w:rsidRPr="006620CE">
        <w:rPr>
          <w:rStyle w:val="Hyperlink"/>
          <w:noProof/>
        </w:rPr>
        <w:t>Indemnification Obligations.</w:t>
      </w:r>
      <w:r>
        <w:rPr>
          <w:noProof/>
        </w:rPr>
        <w:tab/>
        <w:t>48</w:t>
      </w:r>
    </w:p>
    <w:p w14:paraId="13C79C04" w14:textId="4F18E51C"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13.2</w:t>
      </w:r>
      <w:r>
        <w:rPr>
          <w:rFonts w:asciiTheme="minorHAnsi" w:eastAsiaTheme="minorEastAsia" w:hAnsiTheme="minorHAnsi" w:cstheme="minorBidi"/>
          <w:noProof/>
          <w:sz w:val="22"/>
          <w:szCs w:val="22"/>
        </w:rPr>
        <w:tab/>
      </w:r>
      <w:r w:rsidRPr="006620CE">
        <w:rPr>
          <w:rStyle w:val="Hyperlink"/>
          <w:noProof/>
        </w:rPr>
        <w:t>Failure to Defend.</w:t>
      </w:r>
      <w:r>
        <w:rPr>
          <w:noProof/>
        </w:rPr>
        <w:tab/>
        <w:t>49</w:t>
      </w:r>
    </w:p>
    <w:p w14:paraId="6BB8F3FB" w14:textId="32B80849"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14.</w:t>
      </w:r>
      <w:r>
        <w:rPr>
          <w:rFonts w:asciiTheme="minorHAnsi" w:eastAsiaTheme="minorEastAsia" w:hAnsiTheme="minorHAnsi" w:cstheme="minorBidi"/>
          <w:noProof/>
          <w:sz w:val="22"/>
          <w:szCs w:val="22"/>
        </w:rPr>
        <w:tab/>
      </w:r>
      <w:r w:rsidRPr="006620CE">
        <w:rPr>
          <w:rStyle w:val="Hyperlink"/>
          <w:noProof/>
        </w:rPr>
        <w:t>ASSIGNMENT AND CHANGE OF CONTROL</w:t>
      </w:r>
      <w:r>
        <w:rPr>
          <w:noProof/>
        </w:rPr>
        <w:tab/>
        <w:t>49</w:t>
      </w:r>
    </w:p>
    <w:p w14:paraId="3174DCAB" w14:textId="21F11339"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14.1</w:t>
      </w:r>
      <w:r>
        <w:rPr>
          <w:rFonts w:asciiTheme="minorHAnsi" w:eastAsiaTheme="minorEastAsia" w:hAnsiTheme="minorHAnsi" w:cstheme="minorBidi"/>
          <w:noProof/>
          <w:sz w:val="22"/>
          <w:szCs w:val="22"/>
        </w:rPr>
        <w:tab/>
      </w:r>
      <w:r w:rsidRPr="006620CE">
        <w:rPr>
          <w:rStyle w:val="Hyperlink"/>
          <w:noProof/>
        </w:rPr>
        <w:t>Prohibition on Assignments.</w:t>
      </w:r>
      <w:r>
        <w:rPr>
          <w:noProof/>
        </w:rPr>
        <w:tab/>
        <w:t>49</w:t>
      </w:r>
    </w:p>
    <w:p w14:paraId="6B4268F4" w14:textId="16DF403A"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lastRenderedPageBreak/>
        <w:t>14.2</w:t>
      </w:r>
      <w:r>
        <w:rPr>
          <w:rFonts w:asciiTheme="minorHAnsi" w:eastAsiaTheme="minorEastAsia" w:hAnsiTheme="minorHAnsi" w:cstheme="minorBidi"/>
          <w:noProof/>
          <w:sz w:val="22"/>
          <w:szCs w:val="22"/>
        </w:rPr>
        <w:tab/>
      </w:r>
      <w:r w:rsidRPr="006620CE">
        <w:rPr>
          <w:rStyle w:val="Hyperlink"/>
          <w:noProof/>
        </w:rPr>
        <w:t>Permitted Assignment by Seller..</w:t>
      </w:r>
      <w:r>
        <w:rPr>
          <w:noProof/>
        </w:rPr>
        <w:tab/>
        <w:t>49</w:t>
      </w:r>
    </w:p>
    <w:p w14:paraId="6DC15ADD" w14:textId="0B15663C"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14.3</w:t>
      </w:r>
      <w:r>
        <w:rPr>
          <w:rFonts w:asciiTheme="minorHAnsi" w:eastAsiaTheme="minorEastAsia" w:hAnsiTheme="minorHAnsi" w:cstheme="minorBidi"/>
          <w:noProof/>
          <w:sz w:val="22"/>
          <w:szCs w:val="22"/>
        </w:rPr>
        <w:tab/>
      </w:r>
      <w:r w:rsidRPr="006620CE">
        <w:rPr>
          <w:rStyle w:val="Hyperlink"/>
          <w:noProof/>
        </w:rPr>
        <w:t>Change in Control over Seller.</w:t>
      </w:r>
      <w:r>
        <w:rPr>
          <w:noProof/>
        </w:rPr>
        <w:tab/>
        <w:t>49</w:t>
      </w:r>
    </w:p>
    <w:p w14:paraId="2DC7C4CD" w14:textId="2C79F6CA"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14.4</w:t>
      </w:r>
      <w:r>
        <w:rPr>
          <w:rFonts w:asciiTheme="minorHAnsi" w:eastAsiaTheme="minorEastAsia" w:hAnsiTheme="minorHAnsi" w:cstheme="minorBidi"/>
          <w:noProof/>
          <w:sz w:val="22"/>
          <w:szCs w:val="22"/>
        </w:rPr>
        <w:tab/>
      </w:r>
      <w:r w:rsidRPr="006620CE">
        <w:rPr>
          <w:rStyle w:val="Hyperlink"/>
          <w:noProof/>
        </w:rPr>
        <w:t>Permitted Assignment by Buyer..</w:t>
      </w:r>
      <w:r>
        <w:rPr>
          <w:noProof/>
        </w:rPr>
        <w:tab/>
        <w:t>49</w:t>
      </w:r>
    </w:p>
    <w:p w14:paraId="63D5B154" w14:textId="10C09C14"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14.5</w:t>
      </w:r>
      <w:r>
        <w:rPr>
          <w:rFonts w:asciiTheme="minorHAnsi" w:eastAsiaTheme="minorEastAsia" w:hAnsiTheme="minorHAnsi" w:cstheme="minorBidi"/>
          <w:noProof/>
          <w:sz w:val="22"/>
          <w:szCs w:val="22"/>
        </w:rPr>
        <w:tab/>
      </w:r>
      <w:r w:rsidRPr="006620CE">
        <w:rPr>
          <w:rStyle w:val="Hyperlink"/>
          <w:noProof/>
        </w:rPr>
        <w:t>Prohibited Assignments.</w:t>
      </w:r>
      <w:r>
        <w:rPr>
          <w:noProof/>
        </w:rPr>
        <w:tab/>
        <w:t>50</w:t>
      </w:r>
    </w:p>
    <w:p w14:paraId="1800E0F3" w14:textId="64AF76E7"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15.</w:t>
      </w:r>
      <w:r>
        <w:rPr>
          <w:rFonts w:asciiTheme="minorHAnsi" w:eastAsiaTheme="minorEastAsia" w:hAnsiTheme="minorHAnsi" w:cstheme="minorBidi"/>
          <w:noProof/>
          <w:sz w:val="22"/>
          <w:szCs w:val="22"/>
        </w:rPr>
        <w:tab/>
      </w:r>
      <w:r w:rsidRPr="006620CE">
        <w:rPr>
          <w:rStyle w:val="Hyperlink"/>
          <w:noProof/>
        </w:rPr>
        <w:t>TITLE; RISK OF LOSS</w:t>
      </w:r>
      <w:r>
        <w:rPr>
          <w:noProof/>
        </w:rPr>
        <w:tab/>
        <w:t>50</w:t>
      </w:r>
    </w:p>
    <w:p w14:paraId="74C2804C" w14:textId="029A5498" w:rsidR="008D7468" w:rsidRDefault="008D7468" w:rsidP="009C58F9">
      <w:pPr>
        <w:pStyle w:val="TOC1"/>
        <w:rPr>
          <w:rFonts w:asciiTheme="minorHAnsi" w:eastAsiaTheme="minorEastAsia" w:hAnsiTheme="minorHAnsi" w:cstheme="minorBidi"/>
          <w:noProof/>
          <w:sz w:val="22"/>
          <w:szCs w:val="22"/>
        </w:rPr>
      </w:pPr>
      <w:r w:rsidRPr="006620CE">
        <w:rPr>
          <w:rStyle w:val="Hyperlink"/>
          <w:rFonts w:ascii="Times New Roman Bold" w:hAnsi="Times New Roman Bold"/>
          <w:noProof/>
          <w:u w:color="000000"/>
        </w:rPr>
        <w:t>16.</w:t>
      </w:r>
      <w:r>
        <w:rPr>
          <w:rFonts w:asciiTheme="minorHAnsi" w:eastAsiaTheme="minorEastAsia" w:hAnsiTheme="minorHAnsi" w:cstheme="minorBidi"/>
          <w:noProof/>
          <w:sz w:val="22"/>
          <w:szCs w:val="22"/>
        </w:rPr>
        <w:tab/>
      </w:r>
      <w:r w:rsidRPr="006620CE">
        <w:rPr>
          <w:rStyle w:val="Hyperlink"/>
          <w:noProof/>
        </w:rPr>
        <w:t>AUDIT</w:t>
      </w:r>
      <w:r>
        <w:rPr>
          <w:noProof/>
        </w:rPr>
        <w:tab/>
        <w:t>50</w:t>
      </w:r>
    </w:p>
    <w:p w14:paraId="64C0E263" w14:textId="7F35A1CA" w:rsidR="008D7468" w:rsidRDefault="008D7468">
      <w:pPr>
        <w:pStyle w:val="TOC2"/>
        <w:rPr>
          <w:rFonts w:asciiTheme="minorHAnsi" w:eastAsiaTheme="minorEastAsia" w:hAnsiTheme="minorHAnsi" w:cstheme="minorBidi"/>
          <w:noProof/>
          <w:sz w:val="22"/>
          <w:szCs w:val="22"/>
        </w:rPr>
      </w:pPr>
      <w:r w:rsidRPr="006620CE">
        <w:rPr>
          <w:rStyle w:val="Hyperlink"/>
          <w:noProof/>
          <w:u w:color="000000"/>
        </w:rPr>
        <w:t>16.1</w:t>
      </w:r>
      <w:r>
        <w:rPr>
          <w:rFonts w:asciiTheme="minorHAnsi" w:eastAsiaTheme="minorEastAsia" w:hAnsiTheme="minorHAnsi" w:cstheme="minorBidi"/>
          <w:noProof/>
          <w:sz w:val="22"/>
          <w:szCs w:val="22"/>
        </w:rPr>
        <w:tab/>
      </w:r>
      <w:r w:rsidRPr="00B40767">
        <w:rPr>
          <w:rStyle w:val="Hyperlink"/>
          <w:noProof/>
        </w:rPr>
        <w:t>Audit.</w:t>
      </w:r>
      <w:r>
        <w:rPr>
          <w:noProof/>
        </w:rPr>
        <w:tab/>
        <w:t>50</w:t>
      </w:r>
    </w:p>
    <w:p w14:paraId="56B9D6B1" w14:textId="5E4D77CC"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16.2</w:t>
      </w:r>
      <w:r>
        <w:rPr>
          <w:rFonts w:asciiTheme="minorHAnsi" w:eastAsiaTheme="minorEastAsia" w:hAnsiTheme="minorHAnsi" w:cstheme="minorBidi"/>
          <w:noProof/>
          <w:sz w:val="22"/>
          <w:szCs w:val="22"/>
        </w:rPr>
        <w:tab/>
      </w:r>
      <w:r w:rsidRPr="00B40767">
        <w:rPr>
          <w:rStyle w:val="Hyperlink"/>
          <w:noProof/>
        </w:rPr>
        <w:t>Access to Financial Information.</w:t>
      </w:r>
      <w:r>
        <w:rPr>
          <w:noProof/>
        </w:rPr>
        <w:tab/>
        <w:t>50</w:t>
      </w:r>
    </w:p>
    <w:p w14:paraId="326E1F44" w14:textId="563EE5A3"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17.</w:t>
      </w:r>
      <w:r>
        <w:rPr>
          <w:rFonts w:asciiTheme="minorHAnsi" w:eastAsiaTheme="minorEastAsia" w:hAnsiTheme="minorHAnsi" w:cstheme="minorBidi"/>
          <w:noProof/>
          <w:sz w:val="22"/>
          <w:szCs w:val="22"/>
        </w:rPr>
        <w:tab/>
      </w:r>
      <w:r w:rsidRPr="00B40767">
        <w:rPr>
          <w:rStyle w:val="Hyperlink"/>
          <w:noProof/>
        </w:rPr>
        <w:t>NOTICES</w:t>
      </w:r>
      <w:r>
        <w:rPr>
          <w:noProof/>
        </w:rPr>
        <w:tab/>
        <w:t>50</w:t>
      </w:r>
    </w:p>
    <w:p w14:paraId="45B23ACF" w14:textId="25803266"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18.</w:t>
      </w:r>
      <w:r>
        <w:rPr>
          <w:rFonts w:asciiTheme="minorHAnsi" w:eastAsiaTheme="minorEastAsia" w:hAnsiTheme="minorHAnsi" w:cstheme="minorBidi"/>
          <w:noProof/>
          <w:sz w:val="22"/>
          <w:szCs w:val="22"/>
        </w:rPr>
        <w:tab/>
      </w:r>
      <w:r w:rsidRPr="00B40767">
        <w:rPr>
          <w:rStyle w:val="Hyperlink"/>
          <w:noProof/>
        </w:rPr>
        <w:t>WAIVER AND MODIFICATION</w:t>
      </w:r>
      <w:r>
        <w:rPr>
          <w:noProof/>
        </w:rPr>
        <w:tab/>
        <w:t>51</w:t>
      </w:r>
    </w:p>
    <w:p w14:paraId="6186FF7F" w14:textId="1874EF49"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19.</w:t>
      </w:r>
      <w:r>
        <w:rPr>
          <w:rFonts w:asciiTheme="minorHAnsi" w:eastAsiaTheme="minorEastAsia" w:hAnsiTheme="minorHAnsi" w:cstheme="minorBidi"/>
          <w:noProof/>
          <w:sz w:val="22"/>
          <w:szCs w:val="22"/>
        </w:rPr>
        <w:tab/>
      </w:r>
      <w:r w:rsidRPr="00B40767">
        <w:rPr>
          <w:rStyle w:val="Hyperlink"/>
          <w:noProof/>
        </w:rPr>
        <w:t>INTERPRETATION</w:t>
      </w:r>
      <w:r>
        <w:rPr>
          <w:noProof/>
        </w:rPr>
        <w:tab/>
        <w:t>51</w:t>
      </w:r>
    </w:p>
    <w:p w14:paraId="1304A559" w14:textId="226E4F4B"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19.1</w:t>
      </w:r>
      <w:r>
        <w:rPr>
          <w:rFonts w:asciiTheme="minorHAnsi" w:eastAsiaTheme="minorEastAsia" w:hAnsiTheme="minorHAnsi" w:cstheme="minorBidi"/>
          <w:noProof/>
          <w:sz w:val="22"/>
          <w:szCs w:val="22"/>
        </w:rPr>
        <w:tab/>
      </w:r>
      <w:r w:rsidRPr="00B40767">
        <w:rPr>
          <w:rStyle w:val="Hyperlink"/>
          <w:noProof/>
        </w:rPr>
        <w:t>Choice of Law..</w:t>
      </w:r>
      <w:r>
        <w:rPr>
          <w:noProof/>
        </w:rPr>
        <w:tab/>
        <w:t>51</w:t>
      </w:r>
    </w:p>
    <w:p w14:paraId="344804A0" w14:textId="6F0F7F81"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19.2</w:t>
      </w:r>
      <w:r>
        <w:rPr>
          <w:rFonts w:asciiTheme="minorHAnsi" w:eastAsiaTheme="minorEastAsia" w:hAnsiTheme="minorHAnsi" w:cstheme="minorBidi"/>
          <w:noProof/>
          <w:sz w:val="22"/>
          <w:szCs w:val="22"/>
        </w:rPr>
        <w:tab/>
      </w:r>
      <w:r w:rsidRPr="00B40767">
        <w:rPr>
          <w:rStyle w:val="Hyperlink"/>
          <w:noProof/>
        </w:rPr>
        <w:t>Headings.</w:t>
      </w:r>
      <w:r>
        <w:rPr>
          <w:noProof/>
        </w:rPr>
        <w:tab/>
        <w:t>51</w:t>
      </w:r>
    </w:p>
    <w:p w14:paraId="49E637EE" w14:textId="41E7831D"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19.3</w:t>
      </w:r>
      <w:r>
        <w:rPr>
          <w:rFonts w:asciiTheme="minorHAnsi" w:eastAsiaTheme="minorEastAsia" w:hAnsiTheme="minorHAnsi" w:cstheme="minorBidi"/>
          <w:noProof/>
          <w:sz w:val="22"/>
          <w:szCs w:val="22"/>
        </w:rPr>
        <w:tab/>
      </w:r>
      <w:r w:rsidRPr="00B40767">
        <w:rPr>
          <w:rStyle w:val="Hyperlink"/>
          <w:noProof/>
        </w:rPr>
        <w:t>Forward Contract.</w:t>
      </w:r>
      <w:r>
        <w:rPr>
          <w:noProof/>
        </w:rPr>
        <w:tab/>
        <w:t>51</w:t>
      </w:r>
    </w:p>
    <w:p w14:paraId="1FFC7C15" w14:textId="142CC7A7"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19.4</w:t>
      </w:r>
      <w:r>
        <w:rPr>
          <w:rFonts w:asciiTheme="minorHAnsi" w:eastAsiaTheme="minorEastAsia" w:hAnsiTheme="minorHAnsi" w:cstheme="minorBidi"/>
          <w:noProof/>
          <w:sz w:val="22"/>
          <w:szCs w:val="22"/>
        </w:rPr>
        <w:tab/>
      </w:r>
      <w:r w:rsidRPr="00B40767">
        <w:rPr>
          <w:rStyle w:val="Hyperlink"/>
          <w:noProof/>
        </w:rPr>
        <w:t>Standard of Review..</w:t>
      </w:r>
      <w:r>
        <w:rPr>
          <w:noProof/>
        </w:rPr>
        <w:tab/>
        <w:t>52</w:t>
      </w:r>
    </w:p>
    <w:p w14:paraId="3430E435" w14:textId="5C5A4E4C"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19.5</w:t>
      </w:r>
      <w:r>
        <w:rPr>
          <w:rFonts w:asciiTheme="minorHAnsi" w:eastAsiaTheme="minorEastAsia" w:hAnsiTheme="minorHAnsi" w:cstheme="minorBidi"/>
          <w:noProof/>
          <w:sz w:val="22"/>
          <w:szCs w:val="22"/>
        </w:rPr>
        <w:tab/>
      </w:r>
      <w:r w:rsidRPr="00B40767">
        <w:rPr>
          <w:rStyle w:val="Hyperlink"/>
          <w:noProof/>
        </w:rPr>
        <w:t>Change in ISO-NE Rules and Practices.</w:t>
      </w:r>
      <w:r>
        <w:rPr>
          <w:noProof/>
        </w:rPr>
        <w:tab/>
        <w:t>52</w:t>
      </w:r>
    </w:p>
    <w:p w14:paraId="52AF9008" w14:textId="507CACD2"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19.6</w:t>
      </w:r>
      <w:r>
        <w:rPr>
          <w:rFonts w:asciiTheme="minorHAnsi" w:eastAsiaTheme="minorEastAsia" w:hAnsiTheme="minorHAnsi" w:cstheme="minorBidi"/>
          <w:noProof/>
          <w:sz w:val="22"/>
          <w:szCs w:val="22"/>
        </w:rPr>
        <w:tab/>
      </w:r>
      <w:r w:rsidRPr="00B40767">
        <w:rPr>
          <w:rStyle w:val="Hyperlink"/>
          <w:noProof/>
        </w:rPr>
        <w:t>Dodd Frank Act Representations.</w:t>
      </w:r>
      <w:r>
        <w:rPr>
          <w:noProof/>
        </w:rPr>
        <w:tab/>
        <w:t>52</w:t>
      </w:r>
    </w:p>
    <w:p w14:paraId="34356763" w14:textId="40C5A3A0" w:rsidR="008D7468" w:rsidRDefault="008D7468">
      <w:pPr>
        <w:pStyle w:val="TOC2"/>
        <w:rPr>
          <w:rFonts w:asciiTheme="minorHAnsi" w:eastAsiaTheme="minorEastAsia" w:hAnsiTheme="minorHAnsi" w:cstheme="minorBidi"/>
          <w:noProof/>
          <w:sz w:val="22"/>
          <w:szCs w:val="22"/>
        </w:rPr>
      </w:pPr>
      <w:r w:rsidRPr="00B40767">
        <w:rPr>
          <w:rStyle w:val="Hyperlink"/>
          <w:noProof/>
          <w:u w:color="000000"/>
        </w:rPr>
        <w:t>19.7</w:t>
      </w:r>
      <w:r>
        <w:rPr>
          <w:rFonts w:asciiTheme="minorHAnsi" w:eastAsiaTheme="minorEastAsia" w:hAnsiTheme="minorHAnsi" w:cstheme="minorBidi"/>
          <w:noProof/>
          <w:sz w:val="22"/>
          <w:szCs w:val="22"/>
        </w:rPr>
        <w:tab/>
      </w:r>
      <w:r w:rsidRPr="00B40767">
        <w:rPr>
          <w:rStyle w:val="Hyperlink"/>
          <w:noProof/>
        </w:rPr>
        <w:t>Change in Law or Buyer’s Accounting Treatment, Subsequent Judicial or Regulatory Action.</w:t>
      </w:r>
      <w:r>
        <w:rPr>
          <w:noProof/>
        </w:rPr>
        <w:tab/>
        <w:t>53</w:t>
      </w:r>
    </w:p>
    <w:p w14:paraId="7FCC0AB1" w14:textId="5423E41F"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20.</w:t>
      </w:r>
      <w:r>
        <w:rPr>
          <w:rFonts w:asciiTheme="minorHAnsi" w:eastAsiaTheme="minorEastAsia" w:hAnsiTheme="minorHAnsi" w:cstheme="minorBidi"/>
          <w:noProof/>
          <w:sz w:val="22"/>
          <w:szCs w:val="22"/>
        </w:rPr>
        <w:tab/>
      </w:r>
      <w:r w:rsidRPr="00B40767">
        <w:rPr>
          <w:rStyle w:val="Hyperlink"/>
          <w:noProof/>
        </w:rPr>
        <w:t>COUNTERPARTS; FACSIMILE SIGNATURES</w:t>
      </w:r>
      <w:r>
        <w:rPr>
          <w:noProof/>
        </w:rPr>
        <w:tab/>
        <w:t>54</w:t>
      </w:r>
    </w:p>
    <w:p w14:paraId="51C31E50" w14:textId="5AB248E8"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21.</w:t>
      </w:r>
      <w:r>
        <w:rPr>
          <w:rFonts w:asciiTheme="minorHAnsi" w:eastAsiaTheme="minorEastAsia" w:hAnsiTheme="minorHAnsi" w:cstheme="minorBidi"/>
          <w:noProof/>
          <w:sz w:val="22"/>
          <w:szCs w:val="22"/>
        </w:rPr>
        <w:tab/>
      </w:r>
      <w:r w:rsidRPr="00B40767">
        <w:rPr>
          <w:rStyle w:val="Hyperlink"/>
          <w:noProof/>
        </w:rPr>
        <w:t>NO DUTY TO THIRD PARTIES</w:t>
      </w:r>
      <w:r>
        <w:rPr>
          <w:noProof/>
        </w:rPr>
        <w:tab/>
        <w:t>54</w:t>
      </w:r>
    </w:p>
    <w:p w14:paraId="456EC033" w14:textId="2F70FA0C"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22.</w:t>
      </w:r>
      <w:r>
        <w:rPr>
          <w:rFonts w:asciiTheme="minorHAnsi" w:eastAsiaTheme="minorEastAsia" w:hAnsiTheme="minorHAnsi" w:cstheme="minorBidi"/>
          <w:noProof/>
          <w:sz w:val="22"/>
          <w:szCs w:val="22"/>
        </w:rPr>
        <w:tab/>
      </w:r>
      <w:r w:rsidRPr="00B40767">
        <w:rPr>
          <w:rStyle w:val="Hyperlink"/>
          <w:noProof/>
        </w:rPr>
        <w:t>SEVERABILITY</w:t>
      </w:r>
      <w:r>
        <w:rPr>
          <w:noProof/>
        </w:rPr>
        <w:tab/>
        <w:t>54</w:t>
      </w:r>
    </w:p>
    <w:p w14:paraId="44D035E6" w14:textId="224383F7"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23.</w:t>
      </w:r>
      <w:r>
        <w:rPr>
          <w:rFonts w:asciiTheme="minorHAnsi" w:eastAsiaTheme="minorEastAsia" w:hAnsiTheme="minorHAnsi" w:cstheme="minorBidi"/>
          <w:noProof/>
          <w:sz w:val="22"/>
          <w:szCs w:val="22"/>
        </w:rPr>
        <w:tab/>
      </w:r>
      <w:r w:rsidRPr="00B40767">
        <w:rPr>
          <w:rStyle w:val="Hyperlink"/>
          <w:noProof/>
        </w:rPr>
        <w:t>INDEPENDENT CONTRACTOR</w:t>
      </w:r>
      <w:r>
        <w:rPr>
          <w:noProof/>
        </w:rPr>
        <w:tab/>
        <w:t>55</w:t>
      </w:r>
    </w:p>
    <w:p w14:paraId="02B09C70" w14:textId="107095B7" w:rsidR="008D7468" w:rsidRDefault="008D7468" w:rsidP="009C58F9">
      <w:pPr>
        <w:pStyle w:val="TOC1"/>
        <w:rPr>
          <w:rFonts w:asciiTheme="minorHAnsi" w:eastAsiaTheme="minorEastAsia" w:hAnsiTheme="minorHAnsi" w:cstheme="minorBidi"/>
          <w:noProof/>
          <w:sz w:val="22"/>
          <w:szCs w:val="22"/>
        </w:rPr>
      </w:pPr>
      <w:r w:rsidRPr="00B40767">
        <w:rPr>
          <w:rStyle w:val="Hyperlink"/>
          <w:rFonts w:ascii="Times New Roman Bold" w:hAnsi="Times New Roman Bold"/>
          <w:noProof/>
          <w:u w:color="000000"/>
        </w:rPr>
        <w:t>24.</w:t>
      </w:r>
      <w:r>
        <w:rPr>
          <w:rFonts w:asciiTheme="minorHAnsi" w:eastAsiaTheme="minorEastAsia" w:hAnsiTheme="minorHAnsi" w:cstheme="minorBidi"/>
          <w:noProof/>
          <w:sz w:val="22"/>
          <w:szCs w:val="22"/>
        </w:rPr>
        <w:tab/>
      </w:r>
      <w:r w:rsidRPr="00B40767">
        <w:rPr>
          <w:rStyle w:val="Hyperlink"/>
          <w:noProof/>
        </w:rPr>
        <w:t>ENTIRE AGREEMENT</w:t>
      </w:r>
      <w:r>
        <w:rPr>
          <w:noProof/>
        </w:rPr>
        <w:tab/>
        <w:t>55</w:t>
      </w:r>
    </w:p>
    <w:p w14:paraId="4C6E2D08" w14:textId="77777777" w:rsidR="008D7468" w:rsidRDefault="006A04CB">
      <w:r>
        <w:fldChar w:fldCharType="end"/>
      </w:r>
    </w:p>
    <w:p w14:paraId="39C27C87" w14:textId="77777777" w:rsidR="008D7468" w:rsidRDefault="008D7468"/>
    <w:p w14:paraId="753011BE" w14:textId="77777777" w:rsidR="008D7468" w:rsidRDefault="006A04CB">
      <w:pPr>
        <w:pStyle w:val="BBody"/>
        <w:keepNext/>
        <w:rPr>
          <w:b/>
          <w:u w:val="single"/>
        </w:rPr>
      </w:pPr>
      <w:r>
        <w:rPr>
          <w:b/>
          <w:u w:val="single"/>
        </w:rPr>
        <w:t>Exhibits</w:t>
      </w:r>
    </w:p>
    <w:p w14:paraId="40CDAB04" w14:textId="77777777" w:rsidR="00E24506" w:rsidRDefault="006A04CB" w:rsidP="00557935">
      <w:pPr>
        <w:pStyle w:val="BBody"/>
        <w:spacing w:after="0"/>
      </w:pPr>
      <w:r>
        <w:t>Exhibit A</w:t>
      </w:r>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t>Exhibit F</w:t>
      </w:r>
      <w:r>
        <w:tab/>
        <w:t>Schedule of Clean Energy to be Delivered from the Facility</w:t>
      </w:r>
    </w:p>
    <w:p w14:paraId="69FD63CD" w14:textId="1F2746A3" w:rsidR="001252DB" w:rsidRDefault="001252DB" w:rsidP="00E24506">
      <w:pPr>
        <w:pStyle w:val="BBody"/>
      </w:pPr>
      <w:r>
        <w:t>Exhibit G        Required Insurance Coverages</w:t>
      </w:r>
    </w:p>
    <w:p w14:paraId="7D278A1E" w14:textId="77777777" w:rsidR="001252DB" w:rsidRDefault="001252DB">
      <w:pPr>
        <w:pStyle w:val="BBody"/>
      </w:pPr>
    </w:p>
    <w:p w14:paraId="4FF3AA68" w14:textId="77777777" w:rsidR="008D7468" w:rsidRDefault="008D7468"/>
    <w:p w14:paraId="51DD270E" w14:textId="77777777" w:rsidR="008D7468" w:rsidRDefault="008D7468">
      <w:pPr>
        <w:pStyle w:val="BBody"/>
        <w:jc w:val="center"/>
        <w:rPr>
          <w:b/>
        </w:rPr>
        <w:sectPr w:rsidR="008D7468">
          <w:headerReference w:type="default" r:id="rId15"/>
          <w:footerReference w:type="even" r:id="rId16"/>
          <w:footerReference w:type="default" r:id="rId17"/>
          <w:headerReference w:type="first" r:id="rId18"/>
          <w:footerReference w:type="first" r:id="rId19"/>
          <w:pgSz w:w="12240" w:h="15840" w:code="1"/>
          <w:pgMar w:top="1440" w:right="1440" w:bottom="1440" w:left="1440" w:header="720" w:footer="720" w:gutter="0"/>
          <w:pgNumType w:fmt="lowerRoman" w:start="1"/>
          <w:cols w:space="720"/>
          <w:titlePg/>
          <w:docGrid w:linePitch="360"/>
        </w:sectPr>
      </w:pPr>
    </w:p>
    <w:p w14:paraId="2C3024AC" w14:textId="77777777" w:rsidR="008D7468" w:rsidRDefault="006A04CB">
      <w:pPr>
        <w:pStyle w:val="BBody"/>
        <w:jc w:val="center"/>
        <w:rPr>
          <w:b/>
        </w:rPr>
      </w:pPr>
      <w:r>
        <w:rPr>
          <w:b/>
        </w:rPr>
        <w:lastRenderedPageBreak/>
        <w:t>POWER PURCHASE AGREEMENT</w:t>
      </w:r>
    </w:p>
    <w:p w14:paraId="4DFB9321" w14:textId="3AD76B9A" w:rsidR="008D7468" w:rsidRDefault="006A04CB">
      <w:pPr>
        <w:pStyle w:val="BFirstInd"/>
      </w:pPr>
      <w:r>
        <w:t xml:space="preserve">This </w:t>
      </w:r>
      <w:r>
        <w:rPr>
          <w:b/>
        </w:rPr>
        <w:t>POWER PURCHASE AGREEMENT</w:t>
      </w:r>
      <w:r>
        <w:t xml:space="preserve"> (as amended from time to time in accordance with the terms hereof, this “</w:t>
      </w:r>
      <w:r>
        <w:rPr>
          <w:b/>
          <w:u w:val="single"/>
        </w:rPr>
        <w:t>Agreement</w:t>
      </w:r>
      <w:r>
        <w:t xml:space="preserve">”) is entered into as of [_________], </w:t>
      </w:r>
      <w:r w:rsidR="00590A74">
        <w:t>202</w:t>
      </w:r>
      <w:r>
        <w:t>_ (the “</w:t>
      </w:r>
      <w:r>
        <w:rPr>
          <w:b/>
          <w:u w:val="single"/>
        </w:rPr>
        <w:t>Effective Date</w:t>
      </w:r>
      <w:r>
        <w:t xml:space="preserve">”), by and between The Narragansett Electric Company, d/b/a </w:t>
      </w:r>
      <w:r w:rsidR="00590A74">
        <w:t>Rhode Island Energy</w:t>
      </w:r>
      <w:r>
        <w:t>, a Rhode Island corporation  (“</w:t>
      </w:r>
      <w:r>
        <w:rPr>
          <w:b/>
          <w:u w:val="single"/>
        </w:rPr>
        <w:t>Buyer</w:t>
      </w:r>
      <w:r>
        <w:t>”), and [________________], a [__________________] (“</w:t>
      </w:r>
      <w:r>
        <w:rPr>
          <w:b/>
          <w:u w:val="single"/>
        </w:rPr>
        <w:t>Seller</w:t>
      </w:r>
      <w:r>
        <w:t>”).  Buyer and Seller are individually referred to herein as a “</w:t>
      </w:r>
      <w:r>
        <w:rPr>
          <w:b/>
          <w:u w:val="single"/>
        </w:rPr>
        <w:t>Party</w:t>
      </w:r>
      <w:r>
        <w:t>” and are collectively referred to herein as the “</w:t>
      </w:r>
      <w:r>
        <w:rPr>
          <w:b/>
          <w:u w:val="single"/>
        </w:rPr>
        <w:t>Parties</w:t>
      </w:r>
      <w:r>
        <w:t>”.</w:t>
      </w:r>
    </w:p>
    <w:p w14:paraId="47483F1E" w14:textId="2677BD65" w:rsidR="008D7468" w:rsidRDefault="006A04CB">
      <w:pPr>
        <w:pStyle w:val="BFirstInd"/>
      </w:pPr>
      <w:r>
        <w:rPr>
          <w:b/>
        </w:rPr>
        <w:t>WHEREAS</w:t>
      </w:r>
      <w:r>
        <w:t>, Seller is developing the [_______] electric generation facility to be located in [________],</w:t>
      </w:r>
      <w:r w:rsidR="00590A74">
        <w:t xml:space="preserve"> </w:t>
      </w:r>
      <w:r>
        <w:t>which is more fully described in Exhibit A hereto (the “</w:t>
      </w:r>
      <w:r>
        <w:rPr>
          <w:b/>
          <w:u w:val="single"/>
        </w:rPr>
        <w:t>Facility</w:t>
      </w:r>
      <w:r>
        <w:t>”), from which the Buyer’s Percentage Entitlement of the Products (as defined below) is to be delivered to Buyer pursuant to the terms of this Agreement; and</w:t>
      </w:r>
    </w:p>
    <w:p w14:paraId="39AA2B7B" w14:textId="77777777" w:rsidR="008D7468" w:rsidRDefault="006A04CB">
      <w:pPr>
        <w:pStyle w:val="BFirstInd"/>
      </w:pPr>
      <w:r>
        <w:rPr>
          <w:b/>
        </w:rPr>
        <w:t>WHEREAS</w:t>
      </w:r>
      <w:r>
        <w:t>, the Facility is, and shall qualify as a Newly Developed Renewable Energy Resource in the state of Rhode Island, which is expected to be in commercial operation by [_______]; and</w:t>
      </w:r>
    </w:p>
    <w:p w14:paraId="5052CF65" w14:textId="77777777" w:rsidR="008D7468" w:rsidRDefault="006A04CB">
      <w:pPr>
        <w:pStyle w:val="BFirstInd"/>
      </w:pPr>
      <w:r>
        <w:rPr>
          <w:b/>
        </w:rPr>
        <w:t>WHEREAS</w:t>
      </w:r>
      <w:r>
        <w:t>, pursuant to R.I.G.L. § 39-26.1, Buyer is authorized to enter into certain long-term contracts for the purchase of energy or energy and renewable energy certificates from renewable generators meeting the requirements of R.I.G.L. § 39-26-5; and</w:t>
      </w:r>
    </w:p>
    <w:p w14:paraId="13EB3AFF" w14:textId="77777777" w:rsidR="008D7468" w:rsidRDefault="006A04CB">
      <w:pPr>
        <w:pStyle w:val="BFirstInd"/>
      </w:pPr>
      <w:r>
        <w:rPr>
          <w:b/>
        </w:rPr>
        <w:t>WHEREAS</w:t>
      </w:r>
      <w:r>
        <w:t>, Buyer and Seller desire to enter into this Agreement whereby Buyer shall purchase from Seller certain Energy and RECs (each as defined herein) generated by or associated with the Facility;</w:t>
      </w:r>
    </w:p>
    <w:p w14:paraId="4243124B" w14:textId="77777777" w:rsidR="008D7468" w:rsidRDefault="006A04CB">
      <w:pPr>
        <w:pStyle w:val="BFirstInd"/>
      </w:pPr>
      <w:r>
        <w:rPr>
          <w:b/>
        </w:rPr>
        <w:t>NOW, THEREFORE</w:t>
      </w:r>
      <w:r>
        <w:t>, in consideration of the premises and of the mutual agreements contained herein, and for other good and valuable consideration, the receipt and sufficiency of which are hereby acknowledged, the Parties hereby agree as follows:</w:t>
      </w:r>
    </w:p>
    <w:p w14:paraId="22218FEE" w14:textId="77777777" w:rsidR="008D7468" w:rsidRDefault="006A04CB">
      <w:pPr>
        <w:pStyle w:val="Legal21"/>
      </w:pPr>
      <w:bookmarkStart w:id="0" w:name="_Toc177887371"/>
      <w:r>
        <w:t>DEFINITIONS</w:t>
      </w:r>
      <w:bookmarkEnd w:id="0"/>
    </w:p>
    <w:p w14:paraId="7C9B5847" w14:textId="77777777" w:rsidR="008D7468" w:rsidRDefault="006A04CB">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14:paraId="6E968C2F" w14:textId="77777777" w:rsidR="008D7468" w:rsidRDefault="006A04CB">
      <w:pPr>
        <w:pStyle w:val="BIndent"/>
      </w:pPr>
      <w:r>
        <w:t>“</w:t>
      </w:r>
      <w:r>
        <w:rPr>
          <w:b/>
          <w:u w:val="single"/>
        </w:rPr>
        <w:t>Actual Facility Size</w:t>
      </w:r>
      <w:r>
        <w:t>” shall mean the actual nameplate capacity of the Facility, as built, and as certified by an Independent Engineer, as provided in Section 3.4(b)(xiii).</w:t>
      </w:r>
    </w:p>
    <w:p w14:paraId="208CD299" w14:textId="77777777" w:rsidR="008D7468" w:rsidRDefault="006A04CB">
      <w:pPr>
        <w:pStyle w:val="BIndent"/>
      </w:pPr>
      <w:r>
        <w:t>“</w:t>
      </w:r>
      <w:r>
        <w:rPr>
          <w:b/>
          <w:u w:val="single"/>
        </w:rPr>
        <w:t>Adjusted Price</w:t>
      </w:r>
      <w:r>
        <w:t>” shall mean the purchase price(s) for Energy referenced in Section 5.1 if the RECs fail to satisfy the Renewable Energy Standard as an Environmental Attribute associated with the specified MWh of generation from a Newly Developed Renewable Energy Resource and Buyer does not purchase the RECs pursuant to Section 4.1(b) hereof.</w:t>
      </w:r>
    </w:p>
    <w:p w14:paraId="5578043C" w14:textId="77777777" w:rsidR="008D7468" w:rsidRDefault="006A04CB">
      <w:pPr>
        <w:pStyle w:val="BIndent"/>
      </w:pPr>
      <w:r>
        <w:t>“</w:t>
      </w:r>
      <w:r>
        <w:rPr>
          <w:b/>
          <w:u w:val="single"/>
        </w:rPr>
        <w:t>Adverse Determination</w:t>
      </w:r>
      <w:r>
        <w:t>” shall have the meaning set forth in Section 19.7.</w:t>
      </w:r>
    </w:p>
    <w:p w14:paraId="784744AA" w14:textId="77777777" w:rsidR="008D7468" w:rsidRDefault="006A04CB">
      <w:pPr>
        <w:pStyle w:val="BIndent"/>
      </w:pPr>
      <w:r>
        <w:lastRenderedPageBreak/>
        <w:t>“</w:t>
      </w:r>
      <w:r>
        <w:rPr>
          <w:b/>
          <w:u w:val="single"/>
        </w:rPr>
        <w:t>Affiliate</w:t>
      </w:r>
      <w:r>
        <w:t>” shall mean, with respect to any Person, any other Person that directly or indirectly through one or more intermediaries Controls, is Controlled by, or is under common Control with, such first Person.</w:t>
      </w:r>
    </w:p>
    <w:p w14:paraId="612229EA" w14:textId="77777777" w:rsidR="008D7468" w:rsidRDefault="006A04CB">
      <w:pPr>
        <w:pStyle w:val="BIndent"/>
      </w:pPr>
      <w:r>
        <w:t>“</w:t>
      </w:r>
      <w:r>
        <w:rPr>
          <w:b/>
          <w:u w:val="single"/>
        </w:rPr>
        <w:t>Agreement</w:t>
      </w:r>
      <w:r>
        <w:t>” shall have the meaning set forth in the first paragraph of this Agreement.</w:t>
      </w:r>
    </w:p>
    <w:p w14:paraId="76AECF18" w14:textId="77777777" w:rsidR="008D7468" w:rsidRDefault="006A04CB">
      <w:pPr>
        <w:pStyle w:val="BIndent"/>
      </w:pPr>
      <w:r>
        <w:t>“</w:t>
      </w:r>
      <w:r>
        <w:rPr>
          <w:b/>
          <w:u w:val="single"/>
        </w:rPr>
        <w:t>Alternative Compliance Payment Rate</w:t>
      </w:r>
      <w:r>
        <w:t>” shall mean the rate per MWh paid by electricity suppliers under applicable Law for failure to supply RECs in accordance with the Renewable Energy Standard.</w:t>
      </w:r>
    </w:p>
    <w:p w14:paraId="2B4BCACC" w14:textId="77777777" w:rsidR="008D7468" w:rsidRDefault="006A04CB">
      <w:pPr>
        <w:pStyle w:val="BIndent"/>
        <w:adjustRightInd w:val="0"/>
        <w:rPr>
          <w:color w:val="000000"/>
        </w:rPr>
      </w:pPr>
      <w:r>
        <w:rPr>
          <w:color w:val="000000"/>
        </w:rPr>
        <w:t>“</w:t>
      </w:r>
      <w:r>
        <w:rPr>
          <w:b/>
          <w:u w:val="single"/>
        </w:rPr>
        <w:t>Biennial Delivery Deficiency</w:t>
      </w:r>
      <w:r>
        <w:t>” shall have the meaning set forth in Section 4.9.</w:t>
      </w:r>
      <w:r>
        <w:rPr>
          <w:color w:val="000000"/>
        </w:rPr>
        <w:t xml:space="preserve"> </w:t>
      </w:r>
      <w:r>
        <w:rPr>
          <w:b/>
          <w:i/>
          <w:color w:val="000000"/>
        </w:rPr>
        <w:t xml:space="preserve"> </w:t>
      </w:r>
    </w:p>
    <w:p w14:paraId="15AFD059" w14:textId="77777777" w:rsidR="008D7468" w:rsidRDefault="006A04CB">
      <w:pPr>
        <w:pStyle w:val="BIndent"/>
      </w:pPr>
      <w:r>
        <w:t>“</w:t>
      </w:r>
      <w:r>
        <w:rPr>
          <w:b/>
          <w:u w:val="single"/>
        </w:rPr>
        <w:t>Business Day</w:t>
      </w:r>
      <w:r>
        <w:t>” means a day on which Federal Reserve member banks in New York, New York are open for business; and a Business Day shall start at 8:00 a.m. and end at 5:00 p.m. Eastern Prevailing Time.</w:t>
      </w:r>
    </w:p>
    <w:p w14:paraId="14D8B0D0" w14:textId="77777777" w:rsidR="008D7468" w:rsidRDefault="006A04CB">
      <w:pPr>
        <w:pStyle w:val="BIndent"/>
      </w:pPr>
      <w:r>
        <w:t>“</w:t>
      </w:r>
      <w:r>
        <w:rPr>
          <w:b/>
          <w:u w:val="single"/>
        </w:rPr>
        <w:t>Buyer’s Percentage Entitlement</w:t>
      </w:r>
      <w:r>
        <w:t>” shall mean Buyer’s rights to [________] percent ([__]%) of the Products.  Buyer’s Percentage Entitlement may be adjusted in accordance with Section 3.3(c).</w:t>
      </w:r>
    </w:p>
    <w:p w14:paraId="5803E42B" w14:textId="77777777" w:rsidR="008D7468" w:rsidRDefault="006A04CB">
      <w:pPr>
        <w:pStyle w:val="BIndent"/>
      </w:pPr>
      <w:r>
        <w:t>“</w:t>
      </w:r>
      <w:r>
        <w:rPr>
          <w:b/>
          <w:u w:val="single"/>
        </w:rPr>
        <w:t>Buyer’s Taxes</w:t>
      </w:r>
      <w:r>
        <w:t>” shall have the meaning set forth in Section 5.4(a) hereof.</w:t>
      </w:r>
    </w:p>
    <w:p w14:paraId="28551FD6" w14:textId="77777777" w:rsidR="008D7468" w:rsidRDefault="006A04CB">
      <w:pPr>
        <w:pStyle w:val="BIndent"/>
      </w:pPr>
      <w:r>
        <w:t>“</w:t>
      </w:r>
      <w:r>
        <w:rPr>
          <w:b/>
          <w:u w:val="single"/>
        </w:rPr>
        <w:t>Capacity Deficiency</w:t>
      </w:r>
      <w:r>
        <w:t>” means, at the Commercial Operation Date, the amount (expressed in MW), if any, by which the Actual Facility Size is less than the proposed nameplate capacity of the Facility as set forth in Exhibit A.</w:t>
      </w:r>
    </w:p>
    <w:p w14:paraId="64B322E4" w14:textId="77777777" w:rsidR="008D7468" w:rsidRDefault="006A04CB">
      <w:pPr>
        <w:pStyle w:val="BIndent"/>
      </w:pPr>
      <w:r>
        <w:t>“</w:t>
      </w:r>
      <w:r>
        <w:rPr>
          <w:b/>
          <w:u w:val="single"/>
        </w:rPr>
        <w:t>Cash</w:t>
      </w:r>
      <w:r>
        <w:t xml:space="preserve">” shall mean U.S. dollars held by or on behalf of a Party as Posted Collateral hereunder.  </w:t>
      </w:r>
    </w:p>
    <w:p w14:paraId="474E6FFA" w14:textId="77777777" w:rsidR="008D7468" w:rsidRDefault="006A04CB">
      <w:pPr>
        <w:pStyle w:val="BIndent"/>
      </w:pPr>
      <w:r>
        <w:t>“</w:t>
      </w:r>
      <w:r>
        <w:rPr>
          <w:b/>
          <w:u w:val="single"/>
        </w:rPr>
        <w:t>Certificate</w:t>
      </w:r>
      <w: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14:paraId="272A99EC" w14:textId="77777777" w:rsidR="008D7468" w:rsidRDefault="006A04CB">
      <w:pPr>
        <w:pStyle w:val="BIndent"/>
      </w:pPr>
      <w:r>
        <w:t>“</w:t>
      </w:r>
      <w:r>
        <w:rPr>
          <w:b/>
          <w:u w:val="single"/>
        </w:rPr>
        <w:t>Collateral Account</w:t>
      </w:r>
      <w:r>
        <w:t xml:space="preserve">” shall have the meaning specified in Section 6.5(a)(iii)(B) hereof.  </w:t>
      </w:r>
    </w:p>
    <w:p w14:paraId="285FACE1" w14:textId="77777777" w:rsidR="008D7468" w:rsidRDefault="006A04CB">
      <w:pPr>
        <w:pStyle w:val="BIndent"/>
      </w:pPr>
      <w:r>
        <w:t>“</w:t>
      </w:r>
      <w:r>
        <w:rPr>
          <w:b/>
          <w:u w:val="single"/>
        </w:rPr>
        <w:t>Collateral Interest Rate</w:t>
      </w:r>
      <w:r>
        <w:t xml:space="preserve">” shall mean the rate published in </w:t>
      </w:r>
      <w:r>
        <w:rPr>
          <w:u w:val="single"/>
        </w:rPr>
        <w:t xml:space="preserve">The Wall Street Journal </w:t>
      </w:r>
      <w:r>
        <w:t xml:space="preserve">as the “Prime Rate” from time to time (or, if more than one such rate is published, the arithmetic mean of such rates), or, if such rate is no longer published, a successor rate agreed to by Buyer and Seller, in each case determined as of the date the obligation to pay interest arises, but in no event more than the maximum rate permitted by applicable Law in transactions involving entities having the same characteristics as the Parties.  </w:t>
      </w:r>
    </w:p>
    <w:p w14:paraId="79780BC7" w14:textId="77777777" w:rsidR="008D7468" w:rsidRDefault="006A04CB">
      <w:pPr>
        <w:pStyle w:val="BIndent"/>
      </w:pPr>
      <w:r>
        <w:t>“</w:t>
      </w:r>
      <w:r>
        <w:rPr>
          <w:b/>
          <w:u w:val="single"/>
        </w:rPr>
        <w:t>Collateral Requirement</w:t>
      </w:r>
      <w:r>
        <w:t xml:space="preserve">” shall mean at any time the amount of Development Period Security or Operating Period Security required under this Agreement at such time.  </w:t>
      </w:r>
    </w:p>
    <w:p w14:paraId="0D68BB8B" w14:textId="5E544F05" w:rsidR="008D7468" w:rsidRDefault="006A04CB">
      <w:pPr>
        <w:pStyle w:val="BIndent"/>
      </w:pPr>
      <w:r>
        <w:t>“</w:t>
      </w:r>
      <w:r>
        <w:rPr>
          <w:b/>
          <w:u w:val="single"/>
        </w:rPr>
        <w:t>Commercial Operation Date</w:t>
      </w:r>
      <w:r>
        <w:t xml:space="preserve">” shall mean the date on which the conditions set forth in Section 3.4(b) have been satisfied, as </w:t>
      </w:r>
      <w:r w:rsidR="001F5B11">
        <w:t>agreed to in writing by</w:t>
      </w:r>
      <w:r>
        <w:t xml:space="preserve"> Seller </w:t>
      </w:r>
      <w:r w:rsidR="001F5B11">
        <w:t xml:space="preserve">and </w:t>
      </w:r>
      <w:r>
        <w:t>Buyer.</w:t>
      </w:r>
    </w:p>
    <w:p w14:paraId="05EF8CDB" w14:textId="77777777" w:rsidR="008D7468" w:rsidRDefault="006A04CB">
      <w:pPr>
        <w:pStyle w:val="BIndent"/>
      </w:pPr>
      <w:r>
        <w:lastRenderedPageBreak/>
        <w:t>“</w:t>
      </w:r>
      <w:r>
        <w:rPr>
          <w:b/>
          <w:u w:val="single"/>
        </w:rPr>
        <w:t>Contract Maximum Amount</w:t>
      </w:r>
      <w:r>
        <w:t>” shall mean [___] MWh per hour of Energy and a corresponding portion of all other Products, as may be adjusted in accordance with Section 3.3(b).</w:t>
      </w:r>
    </w:p>
    <w:p w14:paraId="51FB5A5D" w14:textId="77777777" w:rsidR="008D7468" w:rsidRDefault="006A04CB">
      <w:pPr>
        <w:pStyle w:val="BIndent"/>
      </w:pPr>
      <w:r>
        <w:t>“</w:t>
      </w:r>
      <w:r>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14:paraId="32C69374" w14:textId="77777777" w:rsidR="008D7468" w:rsidRDefault="006A04CB">
      <w:pPr>
        <w:pStyle w:val="BIndent"/>
      </w:pPr>
      <w:r>
        <w:t>“</w:t>
      </w:r>
      <w:r>
        <w:rPr>
          <w:b/>
          <w:u w:val="single"/>
        </w:rPr>
        <w:t>Control</w:t>
      </w:r>
      <w:r>
        <w:t>” shall mean the possession, directly or indirectly, of the power to direct or cause the direction of the management and policies of a Person, whether through the ownership of voting securities, by contract or otherwise.</w:t>
      </w:r>
    </w:p>
    <w:p w14:paraId="071391AD" w14:textId="32DE9FE1" w:rsidR="008D7468" w:rsidRDefault="006A04CB">
      <w:pPr>
        <w:pStyle w:val="BIndent"/>
      </w:pPr>
      <w:r>
        <w:t>“</w:t>
      </w:r>
      <w:r>
        <w:rPr>
          <w:b/>
          <w:u w:val="single"/>
        </w:rPr>
        <w:t>Cover Damages</w:t>
      </w:r>
      <w:r>
        <w:t xml:space="preserve">” shall mean, with respect to any Delivery Failure, an amount equal to (a) the positive net amount, if any, by which the Replacement Price exceeds the applicable Price that would have been paid for the Products pursuant to Section 5.1 hereof, multiplied by the quantity (in MWh and/or RECs) of that Delivery Failure, plus (b) any other costs assessed by ISO-NE or any other Person against Buyer as a result of that Delivery Failure, plus (c) any applicable penalties and other costs assessed by ISO-NE or any other Person against Buyer as a result of that Delivery Failure, plus (d) any other costs and losses incurred by Buyer as a result of that Delivery Failure.  Buyer shall provide a statement for the applicable period explaining in reasonable detail the calculation of any Cover Damages.  </w:t>
      </w:r>
    </w:p>
    <w:p w14:paraId="14C846BC" w14:textId="77777777" w:rsidR="008D7468" w:rsidRDefault="006A04CB">
      <w:pPr>
        <w:pStyle w:val="BIndent"/>
      </w:pPr>
      <w:r>
        <w:t>“</w:t>
      </w:r>
      <w:r>
        <w:rPr>
          <w:b/>
          <w:u w:val="single"/>
        </w:rPr>
        <w:t>Credit Support</w:t>
      </w:r>
      <w:r>
        <w:t xml:space="preserve">” shall have the meaning specified in Section 6.2(d) hereof.  </w:t>
      </w:r>
    </w:p>
    <w:p w14:paraId="624E4634" w14:textId="77777777" w:rsidR="008D7468" w:rsidRDefault="006A04CB">
      <w:pPr>
        <w:pStyle w:val="BIndent"/>
      </w:pPr>
      <w:r>
        <w:t>“</w:t>
      </w:r>
      <w:r>
        <w:rPr>
          <w:b/>
          <w:u w:val="single"/>
        </w:rPr>
        <w:t>Credit Support Delivery Amount</w:t>
      </w:r>
      <w:r>
        <w:t xml:space="preserve">” shall have the meaning specified in Section 6.3 hereof.  </w:t>
      </w:r>
    </w:p>
    <w:p w14:paraId="6FE823A9" w14:textId="77777777" w:rsidR="008D7468" w:rsidRDefault="006A04CB">
      <w:pPr>
        <w:pStyle w:val="BIndent"/>
      </w:pPr>
      <w:r>
        <w:t>“</w:t>
      </w:r>
      <w:r>
        <w:rPr>
          <w:b/>
          <w:u w:val="single"/>
        </w:rPr>
        <w:t>Credit Support Return Amount</w:t>
      </w:r>
      <w:r>
        <w:t xml:space="preserve">” shall have the meaning specified in Section 6.4 hereof.  </w:t>
      </w:r>
    </w:p>
    <w:p w14:paraId="52522160" w14:textId="38638E40" w:rsidR="0093489F" w:rsidRDefault="0093489F" w:rsidP="0093489F">
      <w:pPr>
        <w:pStyle w:val="BIndent"/>
      </w:pPr>
      <w:r w:rsidRPr="00C80B6C">
        <w:t>“</w:t>
      </w:r>
      <w:r>
        <w:rPr>
          <w:b/>
          <w:u w:val="single"/>
        </w:rPr>
        <w:t>Credit Rating</w:t>
      </w:r>
      <w:r w:rsidRPr="00C80B6C">
        <w:t>” means, with respect to any entity, the rating then assigned to such entity’s unsecured, senior long-term debt obligations (not supported by third party credit enhancements) by S&amp;P, or Moody’s or if such entity does not have a rating for its senior unsecured long-term debt, then the rating then assigned to such entity as its “long-term issuer rating” assigned by S&amp;P or by Moody’s.</w:t>
      </w:r>
    </w:p>
    <w:p w14:paraId="37AD0461" w14:textId="77777777" w:rsidR="008D7468" w:rsidRDefault="006A04CB">
      <w:pPr>
        <w:pStyle w:val="BIndent"/>
      </w:pPr>
      <w:r>
        <w:t>“</w:t>
      </w:r>
      <w:r>
        <w:rPr>
          <w:b/>
          <w:u w:val="single"/>
        </w:rPr>
        <w:t>Critical Milestones</w:t>
      </w:r>
      <w:r>
        <w:t>” shall have the meaning set forth in Section 3.1 hereof.</w:t>
      </w:r>
    </w:p>
    <w:p w14:paraId="72ED6239" w14:textId="792F8727" w:rsidR="00CB11B9" w:rsidRDefault="00CB11B9">
      <w:pPr>
        <w:pStyle w:val="BIndent"/>
      </w:pPr>
      <w:r w:rsidRPr="00CB11B9">
        <w:t>“</w:t>
      </w:r>
      <w:r w:rsidRPr="00CB11B9">
        <w:rPr>
          <w:b/>
          <w:bCs/>
          <w:u w:val="single"/>
        </w:rPr>
        <w:t>Critical Milestones Extension Request</w:t>
      </w:r>
      <w:r w:rsidRPr="00CB11B9">
        <w:t>” shall have the meaning set forth in Section 3.1(c) hereof.</w:t>
      </w:r>
    </w:p>
    <w:p w14:paraId="038DCBFE" w14:textId="77777777" w:rsidR="008D7468" w:rsidRDefault="006A04CB">
      <w:pPr>
        <w:pStyle w:val="BIndent"/>
      </w:pPr>
      <w:r>
        <w:t>“</w:t>
      </w:r>
      <w:r>
        <w:rPr>
          <w:b/>
          <w:u w:val="single"/>
        </w:rPr>
        <w:t>Custodian</w:t>
      </w:r>
      <w:r>
        <w:t xml:space="preserve">” shall have the meaning specified in Section 6.5(a)(i) hereof.  </w:t>
      </w:r>
    </w:p>
    <w:p w14:paraId="71D77F13" w14:textId="77777777" w:rsidR="008D7468" w:rsidRDefault="006A04CB">
      <w:pPr>
        <w:pStyle w:val="BIndent"/>
      </w:pPr>
      <w:r>
        <w:t>“</w:t>
      </w:r>
      <w:r>
        <w:rPr>
          <w:b/>
          <w:u w:val="single"/>
        </w:rPr>
        <w:t>Day Ahead Energy Market</w:t>
      </w:r>
      <w:r>
        <w:t>” shall have the meaning set forth in the ISO-NE Rules.</w:t>
      </w:r>
    </w:p>
    <w:p w14:paraId="7332F7C2" w14:textId="77777777" w:rsidR="008D7468" w:rsidRDefault="006A04CB">
      <w:pPr>
        <w:pStyle w:val="BIndent"/>
      </w:pPr>
      <w:r>
        <w:lastRenderedPageBreak/>
        <w:t>“</w:t>
      </w:r>
      <w:r>
        <w:rPr>
          <w:b/>
          <w:u w:val="single"/>
        </w:rPr>
        <w:t>Default</w:t>
      </w:r>
      <w:r>
        <w:t>” shall mean any event or condition which, with the giving of notice or passage of time or both, could become an Event of Default.</w:t>
      </w:r>
    </w:p>
    <w:p w14:paraId="0557B10F" w14:textId="77777777" w:rsidR="008D7468" w:rsidRDefault="006A04CB">
      <w:pPr>
        <w:pStyle w:val="BIndent"/>
      </w:pPr>
      <w:r>
        <w:t>“</w:t>
      </w:r>
      <w:r>
        <w:rPr>
          <w:b/>
          <w:u w:val="single"/>
        </w:rPr>
        <w:t>Defaulting Party</w:t>
      </w:r>
      <w:r>
        <w:t>” shall mean the Party with respect to which a Default or Event of Default has occurred.</w:t>
      </w:r>
    </w:p>
    <w:p w14:paraId="10304F5D" w14:textId="77777777" w:rsidR="008D7468" w:rsidRDefault="006A04CB">
      <w:pPr>
        <w:pStyle w:val="BIndent"/>
      </w:pPr>
      <w:r>
        <w:t>“</w:t>
      </w:r>
      <w:r>
        <w:rPr>
          <w:b/>
          <w:u w:val="single"/>
        </w:rPr>
        <w:t>Delay Damages</w:t>
      </w:r>
      <w:r>
        <w:t>” shall mean the damages assessed pursuant to Section 3.2(a) hereof.</w:t>
      </w:r>
    </w:p>
    <w:p w14:paraId="28615E21" w14:textId="77777777" w:rsidR="008D7468" w:rsidRDefault="006A04CB">
      <w:pPr>
        <w:pStyle w:val="BIndent"/>
      </w:pPr>
      <w:r>
        <w:t>“</w:t>
      </w:r>
      <w:r>
        <w:rPr>
          <w:b/>
          <w:u w:val="single"/>
        </w:rPr>
        <w:t>Deliver</w:t>
      </w:r>
      <w:r>
        <w:t>” or “</w:t>
      </w:r>
      <w:r>
        <w:rPr>
          <w:b/>
          <w:u w:val="single"/>
        </w:rPr>
        <w:t>Delivery</w:t>
      </w:r>
      <w:r>
        <w:t>” shall mean with respect to (i) Energy, to supply Energy into Buyer’s ISO-NE account at the Delivery Point in accordance with the terms of this Agreement and the ISO-NE Rules, and (ii) RECs, to supply RECs in accordance with Section 4.7(e).</w:t>
      </w:r>
    </w:p>
    <w:p w14:paraId="3A64EC6F" w14:textId="77777777" w:rsidR="008D7468" w:rsidRDefault="006A04CB">
      <w:pPr>
        <w:pStyle w:val="BIndent"/>
      </w:pPr>
      <w:r>
        <w:t>“</w:t>
      </w:r>
      <w:r>
        <w:rPr>
          <w:b/>
          <w:u w:val="single"/>
        </w:rPr>
        <w:t>Delivery Deficiency Damages</w:t>
      </w:r>
      <w:r>
        <w:t>”</w:t>
      </w:r>
      <w:r>
        <w:rPr>
          <w:b/>
        </w:rPr>
        <w:t xml:space="preserve"> </w:t>
      </w:r>
      <w:r>
        <w:t>shall mean</w:t>
      </w:r>
      <w:r>
        <w:rPr>
          <w:b/>
        </w:rPr>
        <w:t xml:space="preserve"> </w:t>
      </w:r>
      <w:r>
        <w:rPr>
          <w:color w:val="000000"/>
        </w:rPr>
        <w:t xml:space="preserve">with respect to any </w:t>
      </w:r>
      <w:r>
        <w:t>Biennial Delivery Deficiency</w:t>
      </w:r>
      <w:r>
        <w:rPr>
          <w:color w:val="000000"/>
        </w:rPr>
        <w:t xml:space="preserve">, an amount equal to (a) the positive net amount, if, any, by which (1) the sum of (x) the weighted average </w:t>
      </w:r>
      <w:r>
        <w:t xml:space="preserve">Real Time Energy Market LMP </w:t>
      </w:r>
      <w:r>
        <w:rPr>
          <w:color w:val="000000"/>
        </w:rPr>
        <w:t xml:space="preserve">over the applicable two </w:t>
      </w:r>
      <w:r>
        <w:t xml:space="preserve">Contract Year </w:t>
      </w:r>
      <w:r>
        <w:rPr>
          <w:color w:val="000000"/>
        </w:rPr>
        <w:t xml:space="preserve">period, plus (y) either the </w:t>
      </w:r>
      <w:r>
        <w:t xml:space="preserve">Replacement Price </w:t>
      </w:r>
      <w:r>
        <w:rPr>
          <w:color w:val="000000"/>
        </w:rPr>
        <w:t xml:space="preserve">for </w:t>
      </w:r>
      <w:r>
        <w:t xml:space="preserve">RECs </w:t>
      </w:r>
      <w:r>
        <w:rPr>
          <w:color w:val="000000"/>
        </w:rPr>
        <w:t xml:space="preserve">if </w:t>
      </w:r>
      <w:r>
        <w:t xml:space="preserve">Buyer </w:t>
      </w:r>
      <w:r>
        <w:rPr>
          <w:color w:val="000000"/>
        </w:rPr>
        <w:t xml:space="preserve">purchases </w:t>
      </w:r>
      <w:r>
        <w:t xml:space="preserve">Replacement RECs </w:t>
      </w:r>
      <w:r>
        <w:rPr>
          <w:color w:val="000000"/>
        </w:rPr>
        <w:t xml:space="preserve">or, </w:t>
      </w:r>
      <w:r>
        <w:t xml:space="preserve">if </w:t>
      </w:r>
      <w:r>
        <w:rPr>
          <w:color w:val="000000"/>
        </w:rPr>
        <w:t xml:space="preserve">the </w:t>
      </w:r>
      <w:r>
        <w:t xml:space="preserve">Buyer elects in its sole discretion not to purchase Replacement RECs, the market value as determined by Buyer in its sole discretion of RECs as of the date and the time of the Biennial Delivery Deficiency, </w:t>
      </w:r>
      <w:r>
        <w:rPr>
          <w:color w:val="000000"/>
        </w:rPr>
        <w:t xml:space="preserve">exceeds (2) the applicable </w:t>
      </w:r>
      <w:r>
        <w:t xml:space="preserve">Price </w:t>
      </w:r>
      <w:r>
        <w:rPr>
          <w:color w:val="000000"/>
        </w:rPr>
        <w:t xml:space="preserve">that would have been paid for the </w:t>
      </w:r>
      <w:r>
        <w:t xml:space="preserve">Products </w:t>
      </w:r>
      <w:r>
        <w:rPr>
          <w:color w:val="000000"/>
        </w:rPr>
        <w:t xml:space="preserve">pursuant to Section </w:t>
      </w:r>
      <w:r>
        <w:t>5.1 hereof</w:t>
      </w:r>
      <w:r>
        <w:rPr>
          <w:color w:val="000000"/>
        </w:rPr>
        <w:t xml:space="preserve">, multiplied by the quantity of that </w:t>
      </w:r>
      <w:r>
        <w:t>Biennial Delivery Deficiency</w:t>
      </w:r>
      <w:r>
        <w:rPr>
          <w:color w:val="000000"/>
        </w:rPr>
        <w:t xml:space="preserve">, plus (b) additional transmission charges, if any, incurred by </w:t>
      </w:r>
      <w:r>
        <w:t xml:space="preserve">Buyer </w:t>
      </w:r>
      <w:r>
        <w:rPr>
          <w:color w:val="000000"/>
        </w:rPr>
        <w:t xml:space="preserve">to transmit </w:t>
      </w:r>
      <w:r>
        <w:t xml:space="preserve">Replacement Energy </w:t>
      </w:r>
      <w:r>
        <w:rPr>
          <w:color w:val="000000"/>
        </w:rPr>
        <w:t xml:space="preserve">to the </w:t>
      </w:r>
      <w:r>
        <w:t>Delivery Point</w:t>
      </w:r>
      <w:r>
        <w:rPr>
          <w:color w:val="000000"/>
        </w:rPr>
        <w:t xml:space="preserve">, plus (c) any costs or charges incurred by </w:t>
      </w:r>
      <w:r>
        <w:t xml:space="preserve">Buyer </w:t>
      </w:r>
      <w:r>
        <w:rPr>
          <w:color w:val="000000"/>
        </w:rPr>
        <w:t xml:space="preserve">with respect to any </w:t>
      </w:r>
      <w:r>
        <w:t xml:space="preserve">Related Transmission Facilities </w:t>
      </w:r>
      <w:r>
        <w:rPr>
          <w:color w:val="000000"/>
        </w:rPr>
        <w:t xml:space="preserve">associated with the quantity of </w:t>
      </w:r>
      <w:r>
        <w:t xml:space="preserve">Energy </w:t>
      </w:r>
      <w:r>
        <w:rPr>
          <w:color w:val="000000"/>
        </w:rPr>
        <w:t xml:space="preserve">not </w:t>
      </w:r>
      <w:r>
        <w:t xml:space="preserve">Delivered </w:t>
      </w:r>
      <w:r>
        <w:rPr>
          <w:color w:val="000000"/>
        </w:rPr>
        <w:t xml:space="preserve">as a result of that </w:t>
      </w:r>
      <w:r>
        <w:t>Biennial Delivery Deficiency</w:t>
      </w:r>
      <w:r>
        <w:rPr>
          <w:color w:val="000000"/>
        </w:rPr>
        <w:t xml:space="preserve">, plus (d) any other costs incurred by </w:t>
      </w:r>
      <w:r>
        <w:t xml:space="preserve">Buyer </w:t>
      </w:r>
      <w:r>
        <w:rPr>
          <w:color w:val="000000"/>
        </w:rPr>
        <w:t xml:space="preserve">in purchasing </w:t>
      </w:r>
      <w:r>
        <w:t xml:space="preserve">Replacement Energy </w:t>
      </w:r>
      <w:r>
        <w:rPr>
          <w:color w:val="000000"/>
        </w:rPr>
        <w:t xml:space="preserve">and/or </w:t>
      </w:r>
      <w:r>
        <w:t xml:space="preserve">Replacement RECs </w:t>
      </w:r>
      <w:r>
        <w:rPr>
          <w:color w:val="000000"/>
        </w:rPr>
        <w:t xml:space="preserve">due to that </w:t>
      </w:r>
      <w:r>
        <w:t>Biennial Delivery Deficiency</w:t>
      </w:r>
      <w:r>
        <w:rPr>
          <w:color w:val="000000"/>
        </w:rPr>
        <w:t xml:space="preserve">, plus (e) any applicable penalties and other costs </w:t>
      </w:r>
      <w:r>
        <w:t xml:space="preserve">assessed by ISO-NE or any other Person against Buyer as a result </w:t>
      </w:r>
      <w:r>
        <w:rPr>
          <w:color w:val="000000"/>
        </w:rPr>
        <w:t xml:space="preserve">of that </w:t>
      </w:r>
      <w:r>
        <w:t>Biennial Delivery Deficiency</w:t>
      </w:r>
      <w:r>
        <w:rPr>
          <w:color w:val="000000"/>
        </w:rPr>
        <w:t xml:space="preserve">, plus (f) any other costs and losses incurred by </w:t>
      </w:r>
      <w:r>
        <w:t xml:space="preserve">Buyer </w:t>
      </w:r>
      <w:r>
        <w:rPr>
          <w:color w:val="000000"/>
        </w:rPr>
        <w:t xml:space="preserve">as a result of that </w:t>
      </w:r>
      <w:r>
        <w:t>Biennial Delivery Deficiency</w:t>
      </w:r>
      <w:r>
        <w:rPr>
          <w:color w:val="000000"/>
        </w:rPr>
        <w:t xml:space="preserve">.  </w:t>
      </w:r>
      <w:r>
        <w:t xml:space="preserve">Buyer </w:t>
      </w:r>
      <w:r>
        <w:rPr>
          <w:color w:val="000000"/>
        </w:rPr>
        <w:t xml:space="preserve">shall provide a </w:t>
      </w:r>
      <w:r>
        <w:t>statement for the applicable period explaining in reasonable detail the calculation of any Delivery Deficiency Damages</w:t>
      </w:r>
      <w:r>
        <w:rPr>
          <w:color w:val="000000"/>
        </w:rPr>
        <w:t xml:space="preserve">.  </w:t>
      </w:r>
    </w:p>
    <w:p w14:paraId="4CCF2D00" w14:textId="77777777" w:rsidR="008D7468" w:rsidRDefault="006A04CB">
      <w:pPr>
        <w:pStyle w:val="BIndent"/>
      </w:pPr>
      <w:r>
        <w:t>“</w:t>
      </w:r>
      <w:r>
        <w:rPr>
          <w:b/>
          <w:u w:val="single"/>
        </w:rPr>
        <w:t>Delivery Failure</w:t>
      </w:r>
      <w:r>
        <w:t>” shall have the meaning set forth in Section 4.3 hereof.</w:t>
      </w:r>
    </w:p>
    <w:p w14:paraId="42FE2833" w14:textId="77777777" w:rsidR="008D7468" w:rsidRDefault="006A04CB">
      <w:pPr>
        <w:pStyle w:val="BIndent"/>
      </w:pPr>
      <w:r>
        <w:t>“</w:t>
      </w:r>
      <w:r>
        <w:rPr>
          <w:b/>
          <w:u w:val="single"/>
        </w:rPr>
        <w:t>Delivery Point</w:t>
      </w:r>
      <w:r>
        <w:t>” shall mean the specific location on the Pool Transmission Facilities where Seller shall Deliver its Energy to Buyer, as set forth in Exhibit A hereto.</w:t>
      </w:r>
    </w:p>
    <w:p w14:paraId="2B590625" w14:textId="77777777" w:rsidR="008D7468" w:rsidRDefault="006A04CB">
      <w:pPr>
        <w:pStyle w:val="BIndent"/>
      </w:pPr>
      <w:r>
        <w:t>“</w:t>
      </w:r>
      <w:r>
        <w:rPr>
          <w:b/>
          <w:u w:val="single"/>
        </w:rPr>
        <w:t>Delivery Schedule</w:t>
      </w:r>
      <w:r>
        <w:t xml:space="preserve">” shall mean Seller’s obligation to Deliver and Buyer’s rights to receive the MWhs of Qualified Clean Energy and associated Environmental Attributes during the Services Term as provided in Exhibit F </w:t>
      </w:r>
      <w:r>
        <w:rPr>
          <w:i/>
        </w:rPr>
        <w:t>Schedule of Clean Energy to be Delivered from the Facility</w:t>
      </w:r>
      <w:r>
        <w:t>.</w:t>
      </w:r>
    </w:p>
    <w:p w14:paraId="114D7636" w14:textId="77777777" w:rsidR="008D7468" w:rsidRDefault="006A04CB">
      <w:pPr>
        <w:pStyle w:val="BIndent"/>
      </w:pPr>
      <w:r>
        <w:t>“</w:t>
      </w:r>
      <w:r>
        <w:rPr>
          <w:b/>
          <w:u w:val="single"/>
        </w:rPr>
        <w:t>Development Period Security</w:t>
      </w:r>
      <w:r>
        <w:t>” shall have the meaning set forth in Section 6.2(a)</w:t>
      </w:r>
      <w:r>
        <w:rPr>
          <w:b/>
        </w:rPr>
        <w:t xml:space="preserve"> </w:t>
      </w:r>
      <w:r>
        <w:t>hereof.</w:t>
      </w:r>
    </w:p>
    <w:p w14:paraId="63BCB501" w14:textId="77777777" w:rsidR="008D7468" w:rsidRDefault="006A04CB">
      <w:pPr>
        <w:pStyle w:val="BIndent"/>
      </w:pPr>
      <w:r>
        <w:t>“</w:t>
      </w:r>
      <w:r>
        <w:rPr>
          <w:b/>
          <w:u w:val="single"/>
        </w:rPr>
        <w:t>Dispute</w:t>
      </w:r>
      <w:r>
        <w:t>” shall have the meaning set forth in Section 11.1 hereof.</w:t>
      </w:r>
    </w:p>
    <w:p w14:paraId="5978DAD4" w14:textId="77777777" w:rsidR="008D7468" w:rsidRDefault="006A04CB">
      <w:pPr>
        <w:pStyle w:val="BIndent"/>
      </w:pPr>
      <w:r>
        <w:lastRenderedPageBreak/>
        <w:t>“</w:t>
      </w:r>
      <w:r>
        <w:rPr>
          <w:b/>
          <w:u w:val="single"/>
        </w:rPr>
        <w:t>Disputing Party</w:t>
      </w:r>
      <w:r>
        <w:t xml:space="preserve">” shall have the meaning set forth in Section 6.6(a) hereof.  </w:t>
      </w:r>
    </w:p>
    <w:p w14:paraId="0C6FCD56" w14:textId="77777777" w:rsidR="008D7468" w:rsidRDefault="006A04CB">
      <w:pPr>
        <w:pStyle w:val="BIndent"/>
      </w:pPr>
      <w:r>
        <w:t>“</w:t>
      </w:r>
      <w:r>
        <w:rPr>
          <w:b/>
          <w:u w:val="single"/>
        </w:rPr>
        <w:t>Eastern Prevailing Time</w:t>
      </w:r>
      <w:r>
        <w:t>” shall mean either Eastern Standard Time or Eastern Daylight Savings Time, as in effect from time to time.</w:t>
      </w:r>
    </w:p>
    <w:p w14:paraId="3825194F" w14:textId="77777777" w:rsidR="008D7468" w:rsidRDefault="006A04CB">
      <w:pPr>
        <w:pStyle w:val="BIndent"/>
      </w:pPr>
      <w:r>
        <w:t>“</w:t>
      </w:r>
      <w:r>
        <w:rPr>
          <w:b/>
          <w:u w:val="single"/>
        </w:rPr>
        <w:t>Effective Date</w:t>
      </w:r>
      <w:r>
        <w:t>” shall have the meaning set forth in the first paragraph hereof.</w:t>
      </w:r>
    </w:p>
    <w:p w14:paraId="0248C6F7" w14:textId="77777777" w:rsidR="008D7468" w:rsidRDefault="006A04CB">
      <w:pPr>
        <w:pStyle w:val="BIndent"/>
      </w:pPr>
      <w:r>
        <w:t>“</w:t>
      </w:r>
      <w:r>
        <w:rPr>
          <w:b/>
          <w:u w:val="single"/>
        </w:rPr>
        <w:t>Eligible Renewable Energy Resource</w:t>
      </w:r>
      <w:r>
        <w:t xml:space="preserve">” shall mean an eligible renewable resource as defined in R.I.G.L. § 39-26-5. </w:t>
      </w:r>
    </w:p>
    <w:p w14:paraId="3D05AE59" w14:textId="77777777" w:rsidR="008D7468" w:rsidRDefault="006A04CB">
      <w:pPr>
        <w:pStyle w:val="BIndent"/>
      </w:pPr>
      <w:r>
        <w:t>“</w:t>
      </w:r>
      <w:r>
        <w:rPr>
          <w:b/>
          <w:u w:val="single"/>
        </w:rPr>
        <w:t>Energy</w:t>
      </w:r>
      <w:r>
        <w:t>” shall mean electric “energy,” as such term is defined in the ISO-NE Tariff, generated by the Facility as measured in MWh in Eastern Prevailing Time, less such Facility’s station service use, generator lead losses, transformer losses and energy not otherwise delivered to the Delivery Point, which quantity for purposes of this Agreement will never be less than zero.</w:t>
      </w:r>
    </w:p>
    <w:p w14:paraId="1DFE6427" w14:textId="77777777" w:rsidR="008D7468" w:rsidRDefault="006A04CB">
      <w:pPr>
        <w:pStyle w:val="BIndent"/>
      </w:pPr>
      <w:r>
        <w:t>“</w:t>
      </w:r>
      <w:r>
        <w:rPr>
          <w:b/>
          <w:u w:val="single"/>
        </w:rPr>
        <w:t>Environmental Attributes</w:t>
      </w:r>
      <w:r>
        <w:t>” shall mean any and all generation attributes under the Renewable Energy Standard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Buyer’s Percentage Entitlement to the favorable generation or environmental attributes of the Facility or the Products produced by the Facility, up to and including the Contract Maximum Amount, during the Services Term including Buyer’s Percentage Entitlement to:  (a) any such credits, certificates, benefits, offsets and allowances computed on the basis of the Facility’s generation using renewable 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
    <w:p w14:paraId="4354F227" w14:textId="77777777" w:rsidR="008D7468" w:rsidRDefault="006A04CB">
      <w:pPr>
        <w:pStyle w:val="BIndent"/>
      </w:pPr>
      <w:r>
        <w:t>“</w:t>
      </w:r>
      <w:r>
        <w:rPr>
          <w:b/>
          <w:u w:val="single"/>
        </w:rPr>
        <w:t>Event of Default</w:t>
      </w:r>
      <w:r>
        <w:t>” shall have the meaning set forth in Section 9.1 hereof and shall include the events and conditions described in Section 9.1 and Section 9.2 hereof.</w:t>
      </w:r>
    </w:p>
    <w:p w14:paraId="2CDA8EAC" w14:textId="77777777" w:rsidR="008D7468" w:rsidRDefault="006A04CB">
      <w:pPr>
        <w:pStyle w:val="BIndent"/>
      </w:pPr>
      <w:r>
        <w:t>“</w:t>
      </w:r>
      <w:r>
        <w:rPr>
          <w:b/>
          <w:u w:val="single"/>
        </w:rPr>
        <w:t>EWG</w:t>
      </w:r>
      <w:r>
        <w:t>” shall mean an exempt wholesale generator under 42 U.S.C. §§ 16451-16463, as amended from time to time, and FERC’s implementing regulations thereunder.</w:t>
      </w:r>
    </w:p>
    <w:p w14:paraId="57A0216B" w14:textId="77777777" w:rsidR="008D7468" w:rsidRDefault="006A04CB">
      <w:pPr>
        <w:pStyle w:val="BIndent"/>
      </w:pPr>
      <w:r>
        <w:t>“</w:t>
      </w:r>
      <w:r>
        <w:rPr>
          <w:b/>
          <w:u w:val="single"/>
        </w:rPr>
        <w:t>Facility</w:t>
      </w:r>
      <w:r>
        <w:t>” shall have the meaning set forth in the Recitals.</w:t>
      </w:r>
    </w:p>
    <w:p w14:paraId="352EE3E8" w14:textId="77777777" w:rsidR="008D7468" w:rsidRDefault="006A04CB">
      <w:pPr>
        <w:pStyle w:val="BIndent"/>
      </w:pPr>
      <w:r>
        <w:t>“</w:t>
      </w:r>
      <w:r>
        <w:rPr>
          <w:b/>
          <w:u w:val="single"/>
        </w:rPr>
        <w:t>FERC</w:t>
      </w:r>
      <w:r>
        <w:t>” shall mean the United States Federal Energy Regulatory Commission, and shall include its successors.</w:t>
      </w:r>
    </w:p>
    <w:p w14:paraId="62EA138C" w14:textId="77777777" w:rsidR="008D7468" w:rsidRDefault="006A04CB">
      <w:pPr>
        <w:pStyle w:val="BIndent"/>
      </w:pPr>
      <w:r>
        <w:lastRenderedPageBreak/>
        <w:t>“</w:t>
      </w:r>
      <w:r>
        <w:rPr>
          <w:b/>
          <w:u w:val="single"/>
        </w:rPr>
        <w:t>Financial Closing Date</w:t>
      </w:r>
      <w:r>
        <w:t>” shall mean the date of the closing of the initial agreements for any Financing of the Facility and of an initial disbursement of funds under such agreements.</w:t>
      </w:r>
    </w:p>
    <w:p w14:paraId="48FCBAA6" w14:textId="77777777" w:rsidR="008D7468" w:rsidRDefault="006A04CB">
      <w:pPr>
        <w:pStyle w:val="BIndent"/>
      </w:pPr>
      <w:r>
        <w:t>“</w:t>
      </w:r>
      <w:r>
        <w:rPr>
          <w:b/>
          <w:u w:val="single"/>
        </w:rPr>
        <w:t>Financing</w:t>
      </w:r>
      <w:r>
        <w:t>” shall mean indebtedness, whether secured or unsecured, loans, guarantees, notes, convertible debt, bond issuances adequate for the construction of the Facility.</w:t>
      </w:r>
    </w:p>
    <w:p w14:paraId="22915583" w14:textId="77777777" w:rsidR="008D7468" w:rsidRDefault="006A04CB">
      <w:pPr>
        <w:pStyle w:val="BIndent"/>
      </w:pPr>
      <w:r>
        <w:t>“</w:t>
      </w:r>
      <w:r>
        <w:rPr>
          <w:b/>
          <w:u w:val="single"/>
        </w:rPr>
        <w:t>Force Majeure</w:t>
      </w:r>
      <w:r>
        <w:t>” shall have the meaning set forth in Section 10.1(a) hereof.</w:t>
      </w:r>
    </w:p>
    <w:p w14:paraId="3C8A48F3" w14:textId="77777777" w:rsidR="008D7468" w:rsidRDefault="006A04CB">
      <w:pPr>
        <w:pStyle w:val="BIndent"/>
      </w:pPr>
      <w:r>
        <w:t>“</w:t>
      </w:r>
      <w:r>
        <w:rPr>
          <w:b/>
          <w:u w:val="single"/>
        </w:rPr>
        <w:t>Generation Unit</w:t>
      </w:r>
      <w:r>
        <w:t>” shall mean a facility that converts a fuel or an energy resource into electrical energy.</w:t>
      </w:r>
    </w:p>
    <w:p w14:paraId="201D5B43" w14:textId="77777777" w:rsidR="008D7468" w:rsidRDefault="006A04CB">
      <w:pPr>
        <w:pStyle w:val="BIndent"/>
      </w:pPr>
      <w:r>
        <w:t>“</w:t>
      </w:r>
      <w:r>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14:paraId="2142C9AC" w14:textId="77777777" w:rsidR="008D7468" w:rsidRDefault="006A04CB">
      <w:pPr>
        <w:pStyle w:val="BIndent"/>
      </w:pPr>
      <w:r>
        <w:t>“</w:t>
      </w:r>
      <w:r>
        <w:rPr>
          <w:b/>
          <w:u w:val="single"/>
        </w:rPr>
        <w:t>GIS Operating Rules</w:t>
      </w:r>
      <w:r>
        <w:t>” are the NEPOOL Generation Information System Operating Rules effective as of the Effective Date, as amended, superseded, or restated from time to time.</w:t>
      </w:r>
    </w:p>
    <w:p w14:paraId="1A3F8508" w14:textId="77777777" w:rsidR="008D7468" w:rsidRDefault="006A04CB">
      <w:pPr>
        <w:pStyle w:val="BIndent"/>
      </w:pPr>
      <w:r>
        <w:t>“</w:t>
      </w:r>
      <w:r>
        <w:rPr>
          <w:b/>
          <w:u w:val="single"/>
        </w:rPr>
        <w:t>Good Utility Practice</w:t>
      </w:r>
      <w:r>
        <w:t>”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14:paraId="11DF4A91" w14:textId="77777777" w:rsidR="008D7468" w:rsidRDefault="006A04CB">
      <w:pPr>
        <w:pStyle w:val="BIndent"/>
      </w:pPr>
      <w:r>
        <w:t>“</w:t>
      </w:r>
      <w:r>
        <w:rPr>
          <w:b/>
          <w:u w:val="single"/>
        </w:rPr>
        <w:t>Governmental Entity</w:t>
      </w:r>
      <w:r>
        <w:t>” shall mean any federal, state or local governmental agency, authority, department, instrumentality or regulatory body, and any court or tribunal, with jurisdiction over Seller, Buyer or the Facility.</w:t>
      </w:r>
    </w:p>
    <w:p w14:paraId="3E3C5B2B" w14:textId="21A83928" w:rsidR="008D7468" w:rsidRDefault="006A04CB">
      <w:pPr>
        <w:pStyle w:val="BIndent"/>
      </w:pPr>
      <w:r>
        <w:t>“</w:t>
      </w:r>
      <w:r>
        <w:rPr>
          <w:b/>
          <w:u w:val="single"/>
        </w:rPr>
        <w:t>Guaranteed Commercial Operation Date</w:t>
      </w:r>
      <w:r>
        <w:t>” shall have the meaning set forth in Section 3.1(a)(v</w:t>
      </w:r>
      <w:r w:rsidR="0000552F">
        <w:t>iii</w:t>
      </w:r>
      <w:r>
        <w:t>) hereof.</w:t>
      </w:r>
    </w:p>
    <w:p w14:paraId="2C8246D5" w14:textId="77777777" w:rsidR="008D7468" w:rsidRDefault="006A04CB">
      <w:pPr>
        <w:pStyle w:val="BIndent"/>
        <w:rPr>
          <w:b/>
          <w:i/>
        </w:rPr>
      </w:pPr>
      <w:r>
        <w:t>“</w:t>
      </w:r>
      <w:r>
        <w:rPr>
          <w:b/>
          <w:u w:val="single"/>
        </w:rPr>
        <w:t>I.3.9 Confirmation</w:t>
      </w:r>
      <w:r>
        <w:t xml:space="preserve">” refers to the ISO-NE Tariff Section I.3.9 pertaining to ISO-NE’s approval of proposed plans as specified therein. </w:t>
      </w:r>
    </w:p>
    <w:p w14:paraId="1CE4146D" w14:textId="77777777" w:rsidR="008D7468" w:rsidRDefault="006A04CB">
      <w:pPr>
        <w:pStyle w:val="BIndent"/>
      </w:pPr>
      <w:r>
        <w:t>“</w:t>
      </w:r>
      <w:r>
        <w:rPr>
          <w:b/>
          <w:u w:val="single"/>
        </w:rPr>
        <w:t>Independent Engineer</w:t>
      </w:r>
      <w:r>
        <w:t>” shall mean a licensed Professional Engineer with expertise in the development of renewable energy projects using the same renewable energy technology as the Facility, reasonably selected by and retained by Seller in order to determine the as-built nameplate capacity of the Facility as provided in Section 3.4(b)(xiii) hereof.</w:t>
      </w:r>
    </w:p>
    <w:p w14:paraId="74F0522A" w14:textId="77777777" w:rsidR="008D7468" w:rsidRDefault="006A04CB">
      <w:pPr>
        <w:pStyle w:val="BIndent"/>
      </w:pPr>
      <w:r>
        <w:lastRenderedPageBreak/>
        <w:t>“</w:t>
      </w:r>
      <w:r>
        <w:rPr>
          <w:b/>
          <w:u w:val="single"/>
        </w:rPr>
        <w:t>Interconnecting Utility</w:t>
      </w:r>
      <w:r>
        <w:t>” shall mean the utility (which may or may not be Buyer or an Affiliate of Buyer) providing interconnection service for the Facility to the Transmission System of that utility.</w:t>
      </w:r>
    </w:p>
    <w:p w14:paraId="428D1AC8" w14:textId="77777777" w:rsidR="008D7468" w:rsidRDefault="006A04CB">
      <w:pPr>
        <w:pStyle w:val="BIndent"/>
      </w:pPr>
      <w:r>
        <w:t>“</w:t>
      </w:r>
      <w:r>
        <w:rPr>
          <w:b/>
          <w:u w:val="single"/>
        </w:rPr>
        <w:t>Interconnection Agreement</w:t>
      </w:r>
      <w:r>
        <w:t>” shall mean an agreement between Seller and the Interconnecting Utility and ISO-NE, as applicable, regarding the interconnection of the Facility to the Transmission System of the Interconnecting Utility, as the same may be amended from time to time.</w:t>
      </w:r>
    </w:p>
    <w:p w14:paraId="3A493882" w14:textId="77777777" w:rsidR="008D7468" w:rsidRDefault="006A04CB">
      <w:pPr>
        <w:pStyle w:val="BIndent"/>
      </w:pPr>
      <w:r>
        <w:t>“</w:t>
      </w:r>
      <w:r>
        <w:rPr>
          <w:b/>
          <w:u w:val="single"/>
        </w:rPr>
        <w:t>Interconnection Point</w:t>
      </w:r>
      <w:r>
        <w:t>” shall have the meaning set forth in the Interconnection Agreement.</w:t>
      </w:r>
    </w:p>
    <w:p w14:paraId="2609A281" w14:textId="77777777" w:rsidR="008D7468" w:rsidRDefault="006A04CB">
      <w:pPr>
        <w:pStyle w:val="BIndent"/>
      </w:pPr>
      <w:r>
        <w:t>“</w:t>
      </w:r>
      <w:r>
        <w:rPr>
          <w:b/>
          <w:u w:val="single"/>
        </w:rPr>
        <w:t>Interest Amount</w:t>
      </w:r>
      <w:r>
        <w:t xml:space="preserve">” shall mean with respect to a Party and an Interest Period, the sum of the daily interest amounts for all days in such Interest Period; each daily interest amount to be determined by such Party as follows:  (a) the amount of Cash held by such Party on that day (but excluding any interest previously earned on such Cash); multiplied by (b) the Collateral Interest Rate for that day; divided by (c) 360. </w:t>
      </w:r>
    </w:p>
    <w:p w14:paraId="5AABE915" w14:textId="77777777" w:rsidR="008D7468" w:rsidRDefault="006A04CB">
      <w:pPr>
        <w:pStyle w:val="BIndent"/>
      </w:pPr>
      <w:r>
        <w:t>“</w:t>
      </w:r>
      <w:r>
        <w:rPr>
          <w:b/>
          <w:u w:val="single"/>
        </w:rPr>
        <w:t>Interest Period</w:t>
      </w:r>
      <w:r>
        <w:t xml:space="preserve">” shall mean the period from (and including) the last Business Day on which an Interest Amount was Transferred by Buyer (or if no Interest Amount has yet been Transferred by Buyer, the Business Day on which Cash was Transferred to Seller) to (but excluding) the Business Day on which the current Interest Amount is to be Transferred.  </w:t>
      </w:r>
    </w:p>
    <w:p w14:paraId="1019A9A4" w14:textId="77777777" w:rsidR="008D7468" w:rsidRDefault="006A04CB">
      <w:pPr>
        <w:pStyle w:val="BIndent"/>
      </w:pPr>
      <w:r>
        <w:t>“</w:t>
      </w:r>
      <w:r w:rsidRPr="6EA93EE1">
        <w:rPr>
          <w:b/>
          <w:bCs/>
          <w:u w:val="single"/>
        </w:rPr>
        <w:t>Internal Bilateral Transaction</w:t>
      </w:r>
      <w:r>
        <w:t xml:space="preserve">” shall mean an Internal Bilateral for Market for Energy as defined in the ISO-NE Tariff. </w:t>
      </w:r>
    </w:p>
    <w:p w14:paraId="438DB858" w14:textId="77777777" w:rsidR="008D7468" w:rsidRDefault="006A04CB">
      <w:pPr>
        <w:pStyle w:val="BIndent"/>
      </w:pPr>
      <w:r>
        <w:t>“</w:t>
      </w:r>
      <w:r>
        <w:rPr>
          <w:b/>
          <w:u w:val="single"/>
        </w:rPr>
        <w:t>ISO</w:t>
      </w:r>
      <w:r>
        <w:t>” or “</w:t>
      </w:r>
      <w:r>
        <w:rPr>
          <w:b/>
          <w:u w:val="single"/>
        </w:rPr>
        <w:t>ISO-NE</w:t>
      </w:r>
      <w:r>
        <w:t>” shall mean ISO New England Inc., the independent system operator established in accordance with the RTO arrangements for New England, or its successor.</w:t>
      </w:r>
    </w:p>
    <w:p w14:paraId="2EE5D18D" w14:textId="77777777" w:rsidR="008D7468" w:rsidRDefault="006A04CB">
      <w:pPr>
        <w:pStyle w:val="BIndent"/>
      </w:pPr>
      <w:r>
        <w:t>“</w:t>
      </w:r>
      <w:r>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14:paraId="41A4CFEF" w14:textId="77777777" w:rsidR="008D7468" w:rsidRDefault="006A04CB">
      <w:pPr>
        <w:pStyle w:val="BIndent"/>
      </w:pPr>
      <w:r>
        <w:t>“</w:t>
      </w:r>
      <w:r>
        <w:rPr>
          <w:b/>
          <w:u w:val="single"/>
        </w:rPr>
        <w:t>ISO-NE Rules</w:t>
      </w:r>
      <w:r>
        <w:t>”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ISO-NE Participants Agreement, the manuals, procedures and business process documents published by ISO-NE via its web site and/or by its e-mail distribution to appropriate NEPOOL participants and/or NEPOOL committees, as amended, superseded or restated from time to time.</w:t>
      </w:r>
    </w:p>
    <w:p w14:paraId="6AC9E920" w14:textId="77777777" w:rsidR="008D7468" w:rsidRDefault="006A04CB">
      <w:pPr>
        <w:pStyle w:val="BIndent"/>
      </w:pPr>
      <w:r>
        <w:t>“</w:t>
      </w:r>
      <w:r>
        <w:rPr>
          <w:b/>
          <w:u w:val="single"/>
        </w:rPr>
        <w:t>ISO-NE Tariff</w:t>
      </w:r>
      <w:r>
        <w:t>” shall mean ISO-NE’s Transmission, Markets and Services Tariff, FERC Electric Tariff No. 3, as amended, superseded or restated from time to time.</w:t>
      </w:r>
    </w:p>
    <w:p w14:paraId="5F0160A4" w14:textId="77777777" w:rsidR="008D7468" w:rsidRDefault="006A04CB">
      <w:pPr>
        <w:pStyle w:val="BIndent"/>
      </w:pPr>
      <w:r>
        <w:lastRenderedPageBreak/>
        <w:t>“</w:t>
      </w:r>
      <w:r>
        <w:rPr>
          <w:b/>
          <w:u w:val="single"/>
        </w:rPr>
        <w:t>ISO Settlement Market System</w:t>
      </w:r>
      <w:r>
        <w:t>” shall have the meaning set forth in the ISO-NE Tariff.</w:t>
      </w:r>
    </w:p>
    <w:p w14:paraId="52E562B2" w14:textId="77777777" w:rsidR="008D7468" w:rsidRDefault="006A04CB">
      <w:pPr>
        <w:pStyle w:val="BIndent"/>
      </w:pPr>
      <w:r>
        <w:t>“</w:t>
      </w:r>
      <w:r>
        <w:rPr>
          <w:b/>
          <w:u w:val="single"/>
        </w:rPr>
        <w:t>Late Payment Rate</w:t>
      </w:r>
      <w:r>
        <w:t>” shall have the meaning set forth in Section 5.3 hereof.</w:t>
      </w:r>
    </w:p>
    <w:p w14:paraId="45082ED0" w14:textId="77777777" w:rsidR="008D7468" w:rsidRDefault="006A04CB">
      <w:pPr>
        <w:pStyle w:val="BIndent"/>
      </w:pPr>
      <w:r>
        <w:t>“</w:t>
      </w:r>
      <w:r>
        <w:rPr>
          <w:b/>
          <w:u w:val="single"/>
        </w:rPr>
        <w:t>Law</w:t>
      </w:r>
      <w:r>
        <w:t>” shall mean all federal, state and local statutes, regulations, rules, orders, executive orders, decrees, policies, judicial decisions and notifications.</w:t>
      </w:r>
    </w:p>
    <w:p w14:paraId="65F8CDD5" w14:textId="77777777" w:rsidR="008D7468" w:rsidRDefault="006A04CB">
      <w:pPr>
        <w:pStyle w:val="BIndent"/>
      </w:pPr>
      <w:r>
        <w:t>“</w:t>
      </w:r>
      <w:r>
        <w:rPr>
          <w:b/>
          <w:u w:val="single"/>
        </w:rPr>
        <w:t>Lender</w:t>
      </w:r>
      <w:r>
        <w:t>”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14:paraId="14FD5047" w14:textId="4DA572C5" w:rsidR="008D7468" w:rsidRDefault="006A04CB">
      <w:pPr>
        <w:pStyle w:val="BIndent"/>
      </w:pPr>
      <w:r>
        <w:t>“</w:t>
      </w:r>
      <w:r>
        <w:rPr>
          <w:b/>
          <w:u w:val="single"/>
        </w:rPr>
        <w:t>Letter of Credit</w:t>
      </w:r>
      <w:r>
        <w:t xml:space="preserve">” shall mean an irrevocable, transferable, </w:t>
      </w:r>
      <w:r w:rsidR="004555F9">
        <w:t xml:space="preserve">unconditional </w:t>
      </w:r>
      <w:r>
        <w:t xml:space="preserve">standby letter of credit, issued by a </w:t>
      </w:r>
      <w:r w:rsidRPr="009C58F9">
        <w:t>Qualified</w:t>
      </w:r>
      <w:r>
        <w:t xml:space="preserve"> Institution utilizing a form acceptable to the Party in whose favor such letter of credit is issued.  All costs relating to any Letter of Credit shall be for the account of the Party providing that Letter of Credit.  </w:t>
      </w:r>
    </w:p>
    <w:p w14:paraId="54FD7CD9" w14:textId="1754FE7A" w:rsidR="008D7468" w:rsidRDefault="006A04CB">
      <w:pPr>
        <w:pStyle w:val="BIndent"/>
      </w:pPr>
      <w:r>
        <w:t>“</w:t>
      </w:r>
      <w:r>
        <w:rPr>
          <w:b/>
          <w:u w:val="single"/>
        </w:rPr>
        <w:t>Letter of Credit Default</w:t>
      </w:r>
      <w:r>
        <w:t>” 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(d) the Letter of Credit shall expire</w:t>
      </w:r>
      <w:r w:rsidR="00BE3F5A">
        <w:t>,</w:t>
      </w:r>
      <w:r>
        <w:t xml:space="preserve"> terminate</w:t>
      </w:r>
      <w:r w:rsidR="00BE3F5A">
        <w:t>,</w:t>
      </w:r>
      <w:r>
        <w:t xml:space="preserve"> </w:t>
      </w:r>
      <w:r w:rsidR="00BE3F5A" w:rsidRPr="00BE3F5A">
        <w:t>or fail and cease to be in full force and effect</w:t>
      </w:r>
      <w:r w:rsidR="00BE3F5A">
        <w:t xml:space="preserve"> at any time during the Term, (e)</w:t>
      </w:r>
      <w:r w:rsidR="00BE3F5A" w:rsidRPr="00BE3F5A">
        <w:t xml:space="preserve"> </w:t>
      </w:r>
      <w:r w:rsidR="00BE3F5A">
        <w:t xml:space="preserve">the Letter of Credit shall </w:t>
      </w:r>
      <w:r>
        <w:t>have a Value of $0</w:t>
      </w:r>
      <w:r w:rsidR="00BE3F5A">
        <w:t>,</w:t>
      </w:r>
      <w:r>
        <w:t xml:space="preserve"> </w:t>
      </w:r>
      <w:r w:rsidR="00BE3F5A">
        <w:t xml:space="preserve">or the Value is otherwise less than the Value required under this Agreement, </w:t>
      </w:r>
      <w:r>
        <w:t>at any time the Party on whose account that Letter of Credit is issued is required to provide Credit Support hereunder and that Party has not Transferred replacement Credit Support meeting the requirements of this Agreement</w:t>
      </w:r>
      <w:r w:rsidR="006F375F">
        <w:t>, or (</w:t>
      </w:r>
      <w:r w:rsidR="00BE3F5A">
        <w:t>f</w:t>
      </w:r>
      <w:r w:rsidR="006F375F">
        <w:t>) the Letter of Credit is otherwise not in compliance with the requirements of this Agreement</w:t>
      </w:r>
      <w:r w:rsidR="006F375F" w:rsidRPr="006F375F">
        <w:t xml:space="preserve"> </w:t>
      </w:r>
      <w:r w:rsidR="006F375F">
        <w:t>after the lapse of any applicable grace period</w:t>
      </w:r>
      <w:r>
        <w:t>; provided, however, that no Letter of Credit Default shall occur in any event with respect to a Letter of Credit after the time such Letter of Credit is required to be cancelled or returned in accordance with the terms of this Agreement</w:t>
      </w:r>
      <w:r w:rsidR="00BE3F5A">
        <w:t xml:space="preserve"> or </w:t>
      </w:r>
      <w:r w:rsidR="00EB749F">
        <w:t>an applicable tariff</w:t>
      </w:r>
      <w:r>
        <w:t xml:space="preserve">.  </w:t>
      </w:r>
    </w:p>
    <w:p w14:paraId="1BAB6E7F" w14:textId="77777777" w:rsidR="008D7468" w:rsidRDefault="006A04CB">
      <w:pPr>
        <w:pStyle w:val="BIndent"/>
      </w:pPr>
      <w:r>
        <w:t>“</w:t>
      </w:r>
      <w:r>
        <w:rPr>
          <w:b/>
          <w:u w:val="single"/>
        </w:rPr>
        <w:t>Locational Marginal Price</w:t>
      </w:r>
      <w:r>
        <w:t>” or “</w:t>
      </w:r>
      <w:r>
        <w:rPr>
          <w:b/>
          <w:u w:val="single"/>
        </w:rPr>
        <w:t>LMP</w:t>
      </w:r>
      <w:r>
        <w:t>” shall have the meaning set forth in the ISO-NE Rules.</w:t>
      </w:r>
    </w:p>
    <w:p w14:paraId="1ABAB390" w14:textId="77777777" w:rsidR="008D7468" w:rsidRDefault="006A04CB">
      <w:pPr>
        <w:pStyle w:val="BIndent"/>
      </w:pPr>
      <w:r>
        <w:t>“</w:t>
      </w:r>
      <w:r>
        <w:rPr>
          <w:b/>
          <w:u w:val="single"/>
        </w:rPr>
        <w:t>Marginal Loss Revenue Fund</w:t>
      </w:r>
      <w:r>
        <w:t>” shall have the meaning set forth in the ISO-NE Rules.</w:t>
      </w:r>
    </w:p>
    <w:p w14:paraId="07876259" w14:textId="77777777" w:rsidR="008D7468" w:rsidRDefault="006A04CB">
      <w:pPr>
        <w:pStyle w:val="BIndent"/>
      </w:pPr>
      <w:r>
        <w:t>“</w:t>
      </w:r>
      <w:r>
        <w:rPr>
          <w:b/>
          <w:u w:val="single"/>
        </w:rPr>
        <w:t>Meters</w:t>
      </w:r>
      <w:r>
        <w:t>” shall have the meaning set forth in Section 4.6(a) hereof.</w:t>
      </w:r>
    </w:p>
    <w:p w14:paraId="6FD4AB4C" w14:textId="77777777" w:rsidR="008D7468" w:rsidRDefault="006A04CB">
      <w:pPr>
        <w:pStyle w:val="BIndent"/>
      </w:pPr>
      <w:r>
        <w:t>“</w:t>
      </w:r>
      <w:r>
        <w:rPr>
          <w:b/>
          <w:u w:val="single"/>
        </w:rPr>
        <w:t>Moody’s</w:t>
      </w:r>
      <w:r>
        <w:t>” shall mean Moody’s Investors Service, Inc., and any successor thereto.</w:t>
      </w:r>
    </w:p>
    <w:p w14:paraId="4CBC80F0" w14:textId="77777777" w:rsidR="008D7468" w:rsidRDefault="006A04CB">
      <w:pPr>
        <w:pStyle w:val="BIndent"/>
      </w:pPr>
      <w:r>
        <w:t>“</w:t>
      </w:r>
      <w:r>
        <w:rPr>
          <w:b/>
          <w:u w:val="single"/>
        </w:rPr>
        <w:t>MW</w:t>
      </w:r>
      <w:r>
        <w:t>” shall mean a megawatt AC.</w:t>
      </w:r>
    </w:p>
    <w:p w14:paraId="76AB5A9D" w14:textId="77777777" w:rsidR="008D7468" w:rsidRDefault="006A04CB">
      <w:pPr>
        <w:pStyle w:val="BIndent"/>
      </w:pPr>
      <w:r>
        <w:t>“</w:t>
      </w:r>
      <w:r>
        <w:rPr>
          <w:b/>
          <w:u w:val="single"/>
        </w:rPr>
        <w:t>MWh</w:t>
      </w:r>
      <w:r>
        <w:t>” shall mean a megawatt-hour (one MWh shall equal 1,000 kWh).</w:t>
      </w:r>
    </w:p>
    <w:p w14:paraId="26C03AAA" w14:textId="77777777" w:rsidR="008D7468" w:rsidRDefault="006A04CB">
      <w:pPr>
        <w:pStyle w:val="BIndent"/>
      </w:pPr>
      <w:r>
        <w:lastRenderedPageBreak/>
        <w:t>“</w:t>
      </w:r>
      <w:r>
        <w:rPr>
          <w:b/>
          <w:u w:val="single"/>
        </w:rPr>
        <w:t>NEPOOL</w:t>
      </w:r>
      <w:r>
        <w:t>” shall mean the New England Power Pool and any successor organization.</w:t>
      </w:r>
    </w:p>
    <w:p w14:paraId="37974887" w14:textId="77777777" w:rsidR="008D7468" w:rsidRDefault="006A04CB">
      <w:pPr>
        <w:pStyle w:val="BIndent"/>
      </w:pPr>
      <w:r>
        <w:t>“</w:t>
      </w:r>
      <w:r>
        <w:rPr>
          <w:b/>
          <w:u w:val="single"/>
        </w:rPr>
        <w:t>NERC</w:t>
      </w:r>
      <w:r>
        <w:t>” shall mean the North American Electric Reliability Corporation and shall include any successor thereto.</w:t>
      </w:r>
    </w:p>
    <w:p w14:paraId="41C6226F" w14:textId="77777777" w:rsidR="008D7468" w:rsidRDefault="006A04CB">
      <w:pPr>
        <w:pStyle w:val="BIndent"/>
      </w:pPr>
      <w:r>
        <w:t>“</w:t>
      </w:r>
      <w:r>
        <w:rPr>
          <w:b/>
          <w:u w:val="single"/>
        </w:rPr>
        <w:t>Network Upgrades</w:t>
      </w:r>
      <w:r>
        <w:t>” shall mean upgrades to the Pool Transmission Facilities and the Transmission Provider’s transmission and distribution systems, as determined and identified in the interconnection study approved in connection with construction of the Facility and the Interconnection Agreement necessary for Delivery of the Energy to the Delivery Point, including those that are necessary for the Seller’s satisfaction of the obligations under Section 3.7 of this Agreement.</w:t>
      </w:r>
    </w:p>
    <w:p w14:paraId="6923C96C" w14:textId="32B34A57" w:rsidR="008D7468" w:rsidRDefault="006A04CB">
      <w:pPr>
        <w:pStyle w:val="BIndent"/>
      </w:pPr>
      <w:r>
        <w:t>“</w:t>
      </w:r>
      <w:r>
        <w:rPr>
          <w:b/>
          <w:u w:val="single"/>
        </w:rPr>
        <w:t>Newly Developed Renewable Energy Resource</w:t>
      </w:r>
      <w:r>
        <w:t>” shall mean, pursuant to R.I.G.L. § 39-26.1-2(</w:t>
      </w:r>
      <w:r w:rsidR="00D0690E">
        <w:t>7</w:t>
      </w:r>
      <w:r>
        <w:t>), an electrical generation unit that uses exclusively an Eligible Renewable Energy Resource (as defined in R.I.G.L. § 39-26-5), and has not begun operation, nor have the developers of the unit implemented investment or lending agreements necessary to finance the construction of the unit.</w:t>
      </w:r>
    </w:p>
    <w:p w14:paraId="1CF330EB" w14:textId="77777777" w:rsidR="008D7468" w:rsidRDefault="006A04CB">
      <w:pPr>
        <w:pStyle w:val="BIndent"/>
      </w:pPr>
      <w:r>
        <w:t>“</w:t>
      </w:r>
      <w:r>
        <w:rPr>
          <w:b/>
          <w:u w:val="single"/>
        </w:rPr>
        <w:t>Node</w:t>
      </w:r>
      <w:r>
        <w:t>” shall have the meaning set forth in the ISO-NE Rules.</w:t>
      </w:r>
    </w:p>
    <w:p w14:paraId="38A86470" w14:textId="77777777" w:rsidR="008D7468" w:rsidRDefault="006A04CB">
      <w:pPr>
        <w:pStyle w:val="BIndent"/>
      </w:pPr>
      <w:r>
        <w:t>“</w:t>
      </w:r>
      <w:r>
        <w:rPr>
          <w:b/>
          <w:u w:val="single"/>
        </w:rPr>
        <w:t>Non-Defaulting Party</w:t>
      </w:r>
      <w:r>
        <w:t>” shall mean the Party with respect to which a Default or Event of Default has not occurred.</w:t>
      </w:r>
    </w:p>
    <w:p w14:paraId="2F21F7F4" w14:textId="77777777" w:rsidR="008D7468" w:rsidRDefault="006A04CB">
      <w:pPr>
        <w:pStyle w:val="BIndent"/>
      </w:pPr>
      <w:r>
        <w:t>“</w:t>
      </w:r>
      <w:r>
        <w:rPr>
          <w:b/>
          <w:u w:val="single"/>
        </w:rPr>
        <w:t>Obligations</w:t>
      </w:r>
      <w:r>
        <w:t xml:space="preserve">” shall have the meaning specified in Section 6.1 hereof.  </w:t>
      </w:r>
    </w:p>
    <w:p w14:paraId="45320842" w14:textId="77777777" w:rsidR="008D7468" w:rsidRDefault="006A04CB">
      <w:pPr>
        <w:pStyle w:val="BIndent"/>
      </w:pPr>
      <w:r>
        <w:t>“</w:t>
      </w:r>
      <w:r>
        <w:rPr>
          <w:b/>
          <w:u w:val="single"/>
        </w:rPr>
        <w:t>Operational Limitations</w:t>
      </w:r>
      <w:r>
        <w:t>” of the Facility are the parameters set forth in Exhibit A describing the physical limitations of the Facility, including the time required for start-up and the limitation on the number of scheduled start-ups per Contract Year.</w:t>
      </w:r>
    </w:p>
    <w:p w14:paraId="2B73A3CB" w14:textId="77777777" w:rsidR="008D7468" w:rsidRDefault="006A04CB">
      <w:pPr>
        <w:pStyle w:val="BIndent"/>
      </w:pPr>
      <w:r>
        <w:t>“</w:t>
      </w:r>
      <w:r>
        <w:rPr>
          <w:b/>
          <w:u w:val="single"/>
        </w:rPr>
        <w:t>Operating Period Security</w:t>
      </w:r>
      <w:r>
        <w:t>” shall have the meaning set forth in Section 6.2(b) hereof.</w:t>
      </w:r>
    </w:p>
    <w:p w14:paraId="0E5F7818" w14:textId="77777777" w:rsidR="008D7468" w:rsidRDefault="006A04CB">
      <w:pPr>
        <w:pStyle w:val="BIndent"/>
      </w:pPr>
      <w:r>
        <w:t>“</w:t>
      </w:r>
      <w:r>
        <w:rPr>
          <w:b/>
          <w:u w:val="single"/>
        </w:rPr>
        <w:t>Party</w:t>
      </w:r>
      <w:r>
        <w:t>” and “</w:t>
      </w:r>
      <w:r>
        <w:rPr>
          <w:b/>
          <w:u w:val="single"/>
        </w:rPr>
        <w:t>Parties</w:t>
      </w:r>
      <w:r>
        <w:t>” shall have the meaning set forth in the first paragraph hereof.</w:t>
      </w:r>
    </w:p>
    <w:p w14:paraId="7F8EDFEC" w14:textId="77777777" w:rsidR="008D7468" w:rsidRDefault="006A04CB">
      <w:pPr>
        <w:pStyle w:val="BIndent"/>
      </w:pPr>
      <w:r>
        <w:t>“</w:t>
      </w:r>
      <w:r>
        <w:rPr>
          <w:b/>
          <w:u w:val="single"/>
        </w:rPr>
        <w:t>Permits</w:t>
      </w:r>
      <w:r>
        <w:t>”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the Delivery of the Products in accordance with this Agreement.</w:t>
      </w:r>
    </w:p>
    <w:p w14:paraId="27314B36" w14:textId="77777777" w:rsidR="008D7468" w:rsidRDefault="006A04CB">
      <w:pPr>
        <w:pStyle w:val="BIndent"/>
      </w:pPr>
      <w:r>
        <w:t>“</w:t>
      </w:r>
      <w:r>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14:paraId="291F0E71" w14:textId="77777777" w:rsidR="008D7468" w:rsidRDefault="006A04CB">
      <w:pPr>
        <w:pStyle w:val="BIndent"/>
      </w:pPr>
      <w:r>
        <w:t>“</w:t>
      </w:r>
      <w:r>
        <w:rPr>
          <w:b/>
          <w:u w:val="single"/>
        </w:rPr>
        <w:t>Pool Transmission Facilities</w:t>
      </w:r>
      <w:r>
        <w:t>” shall have the meaning set forth in the ISO-NE Rules.</w:t>
      </w:r>
    </w:p>
    <w:p w14:paraId="2779C4E4" w14:textId="77777777" w:rsidR="008D7468" w:rsidRDefault="006A04CB">
      <w:pPr>
        <w:pStyle w:val="BIndent"/>
      </w:pPr>
      <w:r>
        <w:t>“</w:t>
      </w:r>
      <w:r>
        <w:rPr>
          <w:b/>
          <w:u w:val="single"/>
        </w:rPr>
        <w:t>Posted Collateral</w:t>
      </w:r>
      <w:r>
        <w:t xml:space="preserve">” shall mean all Credit Support and all proceeds thereof that have been Transferred to or received by a Party under this Agreement and not Transferred to </w:t>
      </w:r>
      <w:r>
        <w:lastRenderedPageBreak/>
        <w:t xml:space="preserve">the Party providing the Credit Support or released by the Party holding the Credit Support.  Any Interest Amount or portion thereof not Transferred will constitute Posted Collateral in the form of Cash. </w:t>
      </w:r>
    </w:p>
    <w:p w14:paraId="05832F61" w14:textId="77777777" w:rsidR="008D7468" w:rsidRDefault="006A04CB">
      <w:pPr>
        <w:pStyle w:val="BIndent"/>
      </w:pPr>
      <w:r>
        <w:t>“</w:t>
      </w:r>
      <w:r>
        <w:rPr>
          <w:b/>
          <w:u w:val="single"/>
        </w:rPr>
        <w:t>Price</w:t>
      </w:r>
      <w:r>
        <w:t>” shall mean the purchase price(s) for Products referenced in Section 5.1 hereof and set forth on Exhibit D.</w:t>
      </w:r>
    </w:p>
    <w:p w14:paraId="14BD59D5" w14:textId="77777777" w:rsidR="008D7468" w:rsidRDefault="006A04CB">
      <w:pPr>
        <w:pStyle w:val="BIndent"/>
      </w:pPr>
      <w:r>
        <w:t>“</w:t>
      </w:r>
      <w:r>
        <w:rPr>
          <w:b/>
          <w:u w:val="single"/>
        </w:rPr>
        <w:t>Products</w:t>
      </w:r>
      <w:r>
        <w:t>” shall mean Energy and RECs; provided, however, that Energy and RECs generated by or associated with the Facility during the Test Period or in excess of the Contract Maximum Amount and RECs not purchased by Buyer under Section 4.1(b) shall not be deemed Products.</w:t>
      </w:r>
    </w:p>
    <w:p w14:paraId="3F2BFFB2" w14:textId="77777777" w:rsidR="008D7468" w:rsidRDefault="006A04CB">
      <w:pPr>
        <w:pStyle w:val="BIndent"/>
      </w:pPr>
      <w:r>
        <w:t>“</w:t>
      </w:r>
      <w:r>
        <w:rPr>
          <w:b/>
          <w:u w:val="single"/>
        </w:rPr>
        <w:t>PUC</w:t>
      </w:r>
      <w:r>
        <w:t>” shall mean the Rhode Island Public Utilities Commission and shall include its successors.</w:t>
      </w:r>
    </w:p>
    <w:p w14:paraId="15FD15CD" w14:textId="77777777" w:rsidR="008D7468" w:rsidRDefault="006A04CB">
      <w:pPr>
        <w:pStyle w:val="BIndent"/>
      </w:pPr>
      <w:r>
        <w:t>“</w:t>
      </w:r>
      <w:r>
        <w:rPr>
          <w:b/>
          <w:u w:val="single"/>
        </w:rPr>
        <w:t>QF</w:t>
      </w:r>
      <w:r>
        <w:t>” shall mean a cogeneration or small power production facility which meets the criteria as defined by FERC in Title 18, Code of Federal Regulations, §§ 292.201 through 292.207, as amended from time to time.</w:t>
      </w:r>
    </w:p>
    <w:p w14:paraId="293A0D8D" w14:textId="2AB5F995" w:rsidR="008D7468" w:rsidRDefault="006A04CB">
      <w:pPr>
        <w:pStyle w:val="BIndent"/>
      </w:pPr>
      <w:r>
        <w:t>“</w:t>
      </w:r>
      <w:r>
        <w:rPr>
          <w:b/>
          <w:u w:val="single"/>
        </w:rPr>
        <w:t>Qualified Institution</w:t>
      </w:r>
      <w:r>
        <w:t xml:space="preserve">” shall mean a major U.S. commercial bank or trust company, </w:t>
      </w:r>
      <w:r w:rsidR="00582B6E">
        <w:t xml:space="preserve">a major </w:t>
      </w:r>
      <w:r>
        <w:t xml:space="preserve">U.S. branch office of a foreign bank, or another financial institution, in any case, </w:t>
      </w:r>
      <w:r w:rsidR="005B030C">
        <w:t xml:space="preserve">acceptable to Buyer and </w:t>
      </w:r>
      <w:r>
        <w:t xml:space="preserve">organized under the laws of the United States or a political subdivision thereof having assets of at least $10 billion and a </w:t>
      </w:r>
      <w:r w:rsidR="0093489F">
        <w:t>Credit Rating</w:t>
      </w:r>
      <w:r>
        <w:t xml:space="preserve"> of at least (A) “A3” from Moody’s or “A-” from S&amp;P, if such entity is rated by both S&amp;P and Moody’s or (B) “A-” by S&amp;P or “A3” by Moody’s, if such entity is rated by either S&amp;P or Moody’s but not both.  </w:t>
      </w:r>
    </w:p>
    <w:p w14:paraId="332696EA" w14:textId="77777777" w:rsidR="008D7468" w:rsidRDefault="006A04CB">
      <w:pPr>
        <w:pStyle w:val="BIndent"/>
      </w:pPr>
      <w:r>
        <w:t>“</w:t>
      </w:r>
      <w:r>
        <w:rPr>
          <w:b/>
          <w:u w:val="single"/>
        </w:rPr>
        <w:t>Real-Time Energy Market</w:t>
      </w:r>
      <w:r>
        <w:t>” shall have the meaning set forth in the ISO-NE Rules.</w:t>
      </w:r>
    </w:p>
    <w:p w14:paraId="6A786DCA" w14:textId="77777777" w:rsidR="008D7468" w:rsidRDefault="006A04CB">
      <w:pPr>
        <w:pStyle w:val="BIndent"/>
      </w:pPr>
      <w:r>
        <w:t>“</w:t>
      </w:r>
      <w:r>
        <w:rPr>
          <w:b/>
          <w:u w:val="single"/>
        </w:rPr>
        <w:t>Reference Market-Maker</w:t>
      </w:r>
      <w:r>
        <w:t xml:space="preserve">” shall mean a leading dealer in the relevant market that is selected in a commercially reasonable manner and is not an Affiliate of either Party.  </w:t>
      </w:r>
    </w:p>
    <w:p w14:paraId="2918D5F8" w14:textId="22349BB4" w:rsidR="008D7468" w:rsidRDefault="006A04CB">
      <w:pPr>
        <w:pStyle w:val="BIndent"/>
      </w:pPr>
      <w:r>
        <w:t>“</w:t>
      </w:r>
      <w:r>
        <w:rPr>
          <w:b/>
          <w:u w:val="single"/>
        </w:rPr>
        <w:t>Regulatory Approval</w:t>
      </w:r>
      <w:r>
        <w:t>” shall mean the PUC’s approval of this Agreement without material modification or conditions pursuant to R.I.G.L. §§ 39-26.1-3 through 39-26.1-5 and the regulations promulgated thereunder, which approval shall be final and not subject to appeal or rehearing and shall be acceptable to Buyer in its sole discretion.</w:t>
      </w:r>
    </w:p>
    <w:p w14:paraId="38D5610A" w14:textId="77777777" w:rsidR="008D7468" w:rsidRDefault="006A04CB">
      <w:pPr>
        <w:pStyle w:val="BIndent"/>
      </w:pPr>
      <w:r>
        <w:t>“</w:t>
      </w:r>
      <w:r>
        <w:rPr>
          <w:b/>
          <w:u w:val="single"/>
        </w:rPr>
        <w:t>Rejected Purchase</w:t>
      </w:r>
      <w:r>
        <w:t>” shall have the meaning set forth in Section 4.4 hereof.</w:t>
      </w:r>
    </w:p>
    <w:p w14:paraId="6CF87D38" w14:textId="77777777" w:rsidR="008D7468" w:rsidRDefault="006A04CB">
      <w:pPr>
        <w:pStyle w:val="BIndent"/>
      </w:pPr>
      <w:r>
        <w:t>“</w:t>
      </w:r>
      <w:r>
        <w:rPr>
          <w:b/>
          <w:u w:val="single"/>
        </w:rPr>
        <w:t>Related Transmission Approvals</w:t>
      </w:r>
      <w:r>
        <w:t>” shall mean those FERC filings, agreements, tariffs and approvals associated with service on the Related Transmission Facilities.</w:t>
      </w:r>
    </w:p>
    <w:p w14:paraId="13E8BD37" w14:textId="77777777" w:rsidR="008D7468" w:rsidRDefault="006A04CB">
      <w:pPr>
        <w:pStyle w:val="BIndent"/>
      </w:pPr>
      <w:r>
        <w:t>“</w:t>
      </w:r>
      <w:r>
        <w:rPr>
          <w:b/>
          <w:u w:val="single"/>
        </w:rPr>
        <w:t>Related Transmission Facilities</w:t>
      </w:r>
      <w:r>
        <w:t>” shall mean those transmission and distribution facilities to be used by Seller for Delivery of Energy under this Agreement, as described in Exhibit E hereto.</w:t>
      </w:r>
    </w:p>
    <w:p w14:paraId="62AFA1CC" w14:textId="77777777" w:rsidR="008D7468" w:rsidRDefault="006A04CB">
      <w:pPr>
        <w:pStyle w:val="BIndent"/>
      </w:pPr>
      <w:r>
        <w:t>“</w:t>
      </w:r>
      <w:r>
        <w:rPr>
          <w:b/>
          <w:u w:val="single"/>
        </w:rPr>
        <w:t>Reliability Curtailment</w:t>
      </w:r>
      <w:r>
        <w:t>” shall mean any curtailment of Delivery of Energy resulting from (i) an emergency condition as defined in the Interconnection Agreement or the ISO-</w:t>
      </w:r>
      <w:r>
        <w:lastRenderedPageBreak/>
        <w:t>NE Tariff, or (ii) any other order or directive of the Interconnecting Utility or the Transmission Provider pursuant to an Interconnection Agreement or tariff.</w:t>
      </w:r>
    </w:p>
    <w:p w14:paraId="06DEFF81" w14:textId="77777777" w:rsidR="008D7468" w:rsidRDefault="006A04CB">
      <w:pPr>
        <w:pStyle w:val="BIndent"/>
      </w:pPr>
      <w:r>
        <w:t>“</w:t>
      </w:r>
      <w:r>
        <w:rPr>
          <w:b/>
          <w:u w:val="single"/>
        </w:rPr>
        <w:t>Renewable Energy Certificates</w:t>
      </w:r>
      <w:r>
        <w:t>” or “</w:t>
      </w:r>
      <w:r>
        <w:rPr>
          <w:b/>
          <w:u w:val="single"/>
        </w:rPr>
        <w:t>RECs</w:t>
      </w:r>
      <w:r>
        <w:t>” shall mean all of the Certificates and any and all other Environmental Attributes associated with the Energy Delivered to Buyer or otherwise produced by the Facility, including, without limitation, all Certificates and any and all other Environmental Attributes, in each case which satisfy the Renewable Energy Standard for a Newly Developed Renewable Energy Resource, and shall represent title to and claim over all Environmental Attributes associated with the specified MWh of Energy Delivered from such Newly Developed Renewable Energy Resource.</w:t>
      </w:r>
    </w:p>
    <w:p w14:paraId="33FCBD06" w14:textId="3F42C207" w:rsidR="008D7468" w:rsidRDefault="006A04CB">
      <w:pPr>
        <w:pStyle w:val="BIndent"/>
      </w:pPr>
      <w:r>
        <w:t>“</w:t>
      </w:r>
      <w:r>
        <w:rPr>
          <w:b/>
          <w:u w:val="single"/>
        </w:rPr>
        <w:t>Renewable Energy Standard</w:t>
      </w:r>
      <w:r>
        <w:t>” shall mean the requirements established pursuant to R.I.G.L. § 39-26-1 et seq. and the regulations promulgated thereunder that require all retail electricity suppliers in Rhode Island to provide a minimum percentage of electricity from Newly Developed Renewable Energy Resources, and such successor laws and regulations as may be in effect from time to time.</w:t>
      </w:r>
    </w:p>
    <w:p w14:paraId="01EC5BC3" w14:textId="77777777" w:rsidR="008D7468" w:rsidRDefault="006A04CB">
      <w:pPr>
        <w:pStyle w:val="BIndent"/>
        <w:rPr>
          <w:b/>
          <w:i/>
        </w:rPr>
      </w:pPr>
      <w:r>
        <w:t>“</w:t>
      </w:r>
      <w:r>
        <w:rPr>
          <w:b/>
          <w:u w:val="single"/>
        </w:rPr>
        <w:t>Replacement Energy</w:t>
      </w:r>
      <w:r>
        <w:t xml:space="preserve">” shall mean energy purchased by Buyer as replacement for any Delivery Failure </w:t>
      </w:r>
      <w:r>
        <w:rPr>
          <w:color w:val="000000"/>
        </w:rPr>
        <w:t xml:space="preserve">or </w:t>
      </w:r>
      <w:r>
        <w:t>Biennial Delivery Deficiency relating to the Energy to be provided hereunder.</w:t>
      </w:r>
    </w:p>
    <w:p w14:paraId="6388ED61" w14:textId="77777777" w:rsidR="008D7468" w:rsidRDefault="006A04CB">
      <w:pPr>
        <w:pStyle w:val="BIndent"/>
      </w:pPr>
      <w:r>
        <w:t>“</w:t>
      </w:r>
      <w:r>
        <w:rPr>
          <w:b/>
          <w:u w:val="single"/>
        </w:rPr>
        <w:t>Replacement Price</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w:t>
      </w:r>
      <w:r>
        <w:rPr>
          <w:color w:val="000000"/>
        </w:rPr>
        <w:t xml:space="preserve">the </w:t>
      </w:r>
      <w:r>
        <w:t xml:space="preserve">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 or Biennial Delivery Deficiency. </w:t>
      </w:r>
    </w:p>
    <w:p w14:paraId="17077C28" w14:textId="77777777" w:rsidR="008D7468" w:rsidRDefault="006A04CB">
      <w:pPr>
        <w:pStyle w:val="BIndent"/>
      </w:pPr>
      <w:r>
        <w:t>“</w:t>
      </w:r>
      <w:r>
        <w:rPr>
          <w:b/>
          <w:u w:val="single"/>
        </w:rPr>
        <w:t>Replacement RECs</w:t>
      </w:r>
      <w:r>
        <w:t>” shall mean any generation or environmental attributes, including any Certificates or other certificates or credits related thereto reflecting generation by a Newly Developed Renewable Energy Resource that are purchased by Buyer as replacement for any RECs not Delivered as required hereunder during the Services Term.</w:t>
      </w:r>
    </w:p>
    <w:p w14:paraId="1532D3D0" w14:textId="77777777" w:rsidR="008D7468" w:rsidRDefault="006A04CB">
      <w:pPr>
        <w:pStyle w:val="BIndent"/>
      </w:pPr>
      <w:r>
        <w:t>“</w:t>
      </w:r>
      <w:r>
        <w:rPr>
          <w:b/>
          <w:u w:val="single"/>
        </w:rPr>
        <w:t>Request Date</w:t>
      </w:r>
      <w:r>
        <w:t xml:space="preserve">” shall have the meaning set forth in Section 6.6(a) hereof.  </w:t>
      </w:r>
    </w:p>
    <w:p w14:paraId="59F49EC3" w14:textId="77777777" w:rsidR="008D7468" w:rsidRDefault="006A04CB">
      <w:pPr>
        <w:pStyle w:val="BIndent"/>
      </w:pPr>
      <w:r>
        <w:t>“</w:t>
      </w:r>
      <w:r>
        <w:rPr>
          <w:b/>
          <w:u w:val="single"/>
        </w:rPr>
        <w:t>Requesting Party</w:t>
      </w:r>
      <w:r>
        <w:t xml:space="preserve">” shall have the meaning set forth in Section 6.6(a) hereof.  </w:t>
      </w:r>
    </w:p>
    <w:p w14:paraId="187B94A1" w14:textId="77777777" w:rsidR="008D7468" w:rsidRDefault="006A04CB">
      <w:pPr>
        <w:pStyle w:val="BIndent"/>
      </w:pPr>
      <w:r>
        <w:t>“</w:t>
      </w:r>
      <w:r>
        <w:rPr>
          <w:b/>
          <w:u w:val="single"/>
        </w:rPr>
        <w:t>Resale Damages</w:t>
      </w:r>
      <w:r>
        <w:t>”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MWh and/or RECs, as applicable), plus (b) any applicable penalties assessed by ISO-NE or any other Person against Seller as a result of Buyer’s failure to accept such Products in accordance with the terms of this Agreement.  Seller shall provide a written statement for the applicable period explaining in reasonable detail the calculation of any Resale Damages.</w:t>
      </w:r>
    </w:p>
    <w:p w14:paraId="5801ACA5" w14:textId="77777777" w:rsidR="008D7468" w:rsidRDefault="006A04CB">
      <w:pPr>
        <w:pStyle w:val="BIndent"/>
      </w:pPr>
      <w:r>
        <w:lastRenderedPageBreak/>
        <w:t>“</w:t>
      </w:r>
      <w:r>
        <w:rPr>
          <w:b/>
          <w:u w:val="single"/>
        </w:rPr>
        <w:t>Resale Price</w:t>
      </w:r>
      <w:r>
        <w:t>”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contracts or market positions in order to minimize Buyer’s liability for such Rejected Purchase.</w:t>
      </w:r>
    </w:p>
    <w:p w14:paraId="53490CB5" w14:textId="77777777" w:rsidR="008D7468" w:rsidRDefault="006A04CB">
      <w:pPr>
        <w:pStyle w:val="BIndent"/>
      </w:pPr>
      <w:r>
        <w:t>“</w:t>
      </w:r>
      <w:r>
        <w:rPr>
          <w:b/>
          <w:u w:val="single"/>
        </w:rPr>
        <w:t>Rounding Amount</w:t>
      </w:r>
      <w:r>
        <w:t xml:space="preserve">” shall have the meaning specified in Section 6.2(c) hereof.  </w:t>
      </w:r>
    </w:p>
    <w:p w14:paraId="347962A2" w14:textId="77777777" w:rsidR="008D7468" w:rsidRDefault="006A04CB">
      <w:pPr>
        <w:pStyle w:val="BIndent"/>
      </w:pPr>
      <w:r>
        <w:t>“</w:t>
      </w:r>
      <w:r>
        <w:rPr>
          <w:b/>
          <w:u w:val="single"/>
        </w:rPr>
        <w:t>RTO</w:t>
      </w:r>
      <w:r>
        <w:t>” shall mean ISO-NE and any successor organization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14:paraId="2FC9A364" w14:textId="77777777" w:rsidR="008D7468" w:rsidRDefault="006A04CB">
      <w:pPr>
        <w:pStyle w:val="BIndent"/>
      </w:pPr>
      <w:r>
        <w:t>“</w:t>
      </w:r>
      <w:r>
        <w:rPr>
          <w:b/>
          <w:u w:val="single"/>
        </w:rPr>
        <w:t>S&amp;P</w:t>
      </w:r>
      <w:r>
        <w:t>” shall mean Standard &amp; Poor’s Financial Services LLC, and any successor thereto.</w:t>
      </w:r>
    </w:p>
    <w:p w14:paraId="658DF231" w14:textId="77777777" w:rsidR="008D7468" w:rsidRDefault="006A04CB">
      <w:pPr>
        <w:pStyle w:val="BIndent"/>
      </w:pPr>
      <w:r>
        <w:t>“</w:t>
      </w:r>
      <w:r>
        <w:rPr>
          <w:b/>
          <w:u w:val="single"/>
        </w:rPr>
        <w:t>Schedule</w:t>
      </w:r>
      <w:r>
        <w:t>” or “</w:t>
      </w:r>
      <w:r>
        <w:rPr>
          <w:b/>
          <w:u w:val="single"/>
        </w:rPr>
        <w:t>Scheduling</w:t>
      </w:r>
      <w:r>
        <w:t>” shall mean the actions of Seller and/or its designated representatives pursuant to Section 4.2, of notifying, requesting and confirming to ISO-NE the quantity of Energy to be delivered on any given day or days (or in any given hour or hours) during the Services Term at the Delivery Point.</w:t>
      </w:r>
    </w:p>
    <w:p w14:paraId="11912ADA" w14:textId="77777777" w:rsidR="008D7468" w:rsidRDefault="006A04CB">
      <w:pPr>
        <w:pStyle w:val="BIndent"/>
      </w:pPr>
      <w:r>
        <w:t>“</w:t>
      </w:r>
      <w:r>
        <w:rPr>
          <w:b/>
          <w:u w:val="single"/>
        </w:rPr>
        <w:t>Seller’s Taxes</w:t>
      </w:r>
      <w:r>
        <w:t>” shall have the meaning set forth in Section 5.4(a) hereof.</w:t>
      </w:r>
    </w:p>
    <w:p w14:paraId="0925BA00" w14:textId="77777777" w:rsidR="008D7468" w:rsidRDefault="006A04CB">
      <w:pPr>
        <w:pStyle w:val="BIndent"/>
      </w:pPr>
      <w:r>
        <w:t>“</w:t>
      </w:r>
      <w:r>
        <w:rPr>
          <w:b/>
          <w:u w:val="single"/>
        </w:rPr>
        <w:t>Services Term</w:t>
      </w:r>
      <w:r>
        <w:t>” shall have the meaning set forth in Section 2.2(b) hereof.</w:t>
      </w:r>
    </w:p>
    <w:p w14:paraId="075D4C73" w14:textId="77777777" w:rsidR="008D7468" w:rsidRDefault="006A04CB">
      <w:pPr>
        <w:pStyle w:val="BIndent"/>
      </w:pPr>
      <w:r>
        <w:t>“</w:t>
      </w:r>
      <w:r>
        <w:rPr>
          <w:b/>
          <w:u w:val="single"/>
        </w:rPr>
        <w:t>Substitute Credit Support</w:t>
      </w:r>
      <w:r>
        <w:t xml:space="preserve">” shall have the meaning assigned in Section 6.5(e) hereof.  </w:t>
      </w:r>
    </w:p>
    <w:p w14:paraId="214A7EF8" w14:textId="77777777" w:rsidR="008D7468" w:rsidRDefault="006A04CB">
      <w:pPr>
        <w:pStyle w:val="BIndent"/>
      </w:pPr>
      <w:r>
        <w:t>“</w:t>
      </w:r>
      <w:r>
        <w:rPr>
          <w:b/>
          <w:u w:val="single"/>
        </w:rPr>
        <w:t>Term</w:t>
      </w:r>
      <w:r>
        <w:t>” shall have the meaning set forth in Section 2.2(a) hereof.</w:t>
      </w:r>
    </w:p>
    <w:p w14:paraId="41F5A37F" w14:textId="77777777" w:rsidR="008D7468" w:rsidRDefault="006A04CB">
      <w:pPr>
        <w:pStyle w:val="BIndent"/>
      </w:pPr>
      <w:r>
        <w:t>“</w:t>
      </w:r>
      <w:r>
        <w:rPr>
          <w:b/>
          <w:u w:val="single"/>
        </w:rPr>
        <w:t>Termination Payment</w:t>
      </w:r>
      <w:r>
        <w:t>” shall have the meaning set forth in Section 9.3(b) hereof.</w:t>
      </w:r>
    </w:p>
    <w:p w14:paraId="078E09D8" w14:textId="77777777" w:rsidR="008D7468" w:rsidRDefault="006A04CB">
      <w:pPr>
        <w:pStyle w:val="BIndent"/>
      </w:pPr>
      <w:r>
        <w:t>“</w:t>
      </w:r>
      <w:r>
        <w:rPr>
          <w:b/>
          <w:u w:val="single"/>
        </w:rPr>
        <w:t>Test Period</w:t>
      </w:r>
      <w:r>
        <w:t>” shall have the meaning set forth in Section 3.4(a) hereof.</w:t>
      </w:r>
    </w:p>
    <w:p w14:paraId="6F1C5A9D" w14:textId="77777777" w:rsidR="008D7468" w:rsidRDefault="006A04CB">
      <w:pPr>
        <w:pStyle w:val="BIndent"/>
      </w:pPr>
      <w:r>
        <w:t>“</w:t>
      </w:r>
      <w:r>
        <w:rPr>
          <w:b/>
          <w:u w:val="single"/>
        </w:rPr>
        <w:t>Transfer</w:t>
      </w:r>
      <w:r>
        <w:t>” shall mean, with respect to any Posted Collateral or Interest Amount, and in accordance with the instructions of the Party entitled thereto:</w:t>
      </w:r>
    </w:p>
    <w:p w14:paraId="2DCD2D40" w14:textId="77777777" w:rsidR="008D7468" w:rsidRDefault="006A04CB">
      <w:pPr>
        <w:pStyle w:val="BIndent2"/>
        <w:ind w:right="720"/>
      </w:pPr>
      <w:r>
        <w:t>(a)</w:t>
      </w:r>
      <w:r>
        <w:tab/>
        <w:t>in the case of Cash, payment or transfer by wire transfer into one or more bank accounts specified by the Party to whom such Cash is being delivered; and</w:t>
      </w:r>
    </w:p>
    <w:p w14:paraId="334DBF9A" w14:textId="77777777" w:rsidR="008D7468" w:rsidRDefault="006A04CB">
      <w:pPr>
        <w:pStyle w:val="BIndent2"/>
        <w:ind w:right="720"/>
      </w:pPr>
      <w:r>
        <w:t>(b)</w:t>
      </w:r>
      <w:r>
        <w:tab/>
        <w:t xml:space="preserve">in the case of Letters of Credit, delivery of the Letter of Credit or an amendment thereto to the Party to whom such Letter of Credit is being delivered.  </w:t>
      </w:r>
    </w:p>
    <w:p w14:paraId="48BC3822" w14:textId="77777777" w:rsidR="008D7468" w:rsidRDefault="006A04CB">
      <w:pPr>
        <w:pStyle w:val="BIndent"/>
      </w:pPr>
      <w:r>
        <w:t>“</w:t>
      </w:r>
      <w:r>
        <w:rPr>
          <w:b/>
          <w:u w:val="single"/>
        </w:rPr>
        <w:t>Transmission Provider</w:t>
      </w:r>
      <w:r>
        <w:t xml:space="preserve">” shall mean (a) ISO-NE, its respective successor or Affiliates; (b) Buyer; and/or (c) such other third parties from whom transmission services are </w:t>
      </w:r>
      <w:r>
        <w:lastRenderedPageBreak/>
        <w:t>necessary for Seller to fulfill its performance obligations to Buyer hereunder, as the context requires.</w:t>
      </w:r>
    </w:p>
    <w:p w14:paraId="77C24B3D" w14:textId="77777777" w:rsidR="008D7468" w:rsidRDefault="006A04CB">
      <w:pPr>
        <w:pStyle w:val="BIndent"/>
      </w:pPr>
      <w:r>
        <w:t>“</w:t>
      </w:r>
      <w:r>
        <w:rPr>
          <w:b/>
          <w:u w:val="single"/>
        </w:rPr>
        <w:t>Transmission System</w:t>
      </w:r>
      <w:r>
        <w:t>” shall mean the transmission facilities operated by a Transmission Provider, now or hereafter in existence, which provide energy transmission service for the Energy to or from the Delivery Point.</w:t>
      </w:r>
    </w:p>
    <w:p w14:paraId="73CD49A9" w14:textId="77777777" w:rsidR="008D7468" w:rsidRDefault="006A04CB">
      <w:pPr>
        <w:pStyle w:val="BIndent"/>
      </w:pPr>
      <w:r>
        <w:t>“</w:t>
      </w:r>
      <w:r>
        <w:rPr>
          <w:b/>
          <w:u w:val="single"/>
        </w:rPr>
        <w:t>Unit Contingent</w:t>
      </w:r>
      <w:r>
        <w:t>” shall mean that the Products are to be supplied only from the Facility and only to the extent that the Facility is generating Energy.</w:t>
      </w:r>
    </w:p>
    <w:p w14:paraId="258FC4D1" w14:textId="77777777" w:rsidR="008D7468" w:rsidRDefault="006A04CB">
      <w:pPr>
        <w:pStyle w:val="BIndent"/>
      </w:pPr>
      <w:r>
        <w:t>“</w:t>
      </w:r>
      <w:r>
        <w:rPr>
          <w:b/>
          <w:u w:val="single"/>
        </w:rPr>
        <w:t>Valuation Agent</w:t>
      </w:r>
      <w:r>
        <w:t xml:space="preserve">” means 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  </w:t>
      </w:r>
    </w:p>
    <w:p w14:paraId="177E5979" w14:textId="77777777" w:rsidR="008D7468" w:rsidRDefault="006A04CB">
      <w:pPr>
        <w:pStyle w:val="BIndent"/>
      </w:pPr>
      <w:r>
        <w:t>“</w:t>
      </w:r>
      <w:r>
        <w:rPr>
          <w:b/>
          <w:u w:val="single"/>
        </w:rPr>
        <w:t>Valuation Date</w:t>
      </w:r>
      <w:r>
        <w:t xml:space="preserve">” shall mean each Business Day.  </w:t>
      </w:r>
    </w:p>
    <w:p w14:paraId="653B3EBD" w14:textId="77777777" w:rsidR="008D7468" w:rsidRDefault="006A04CB">
      <w:pPr>
        <w:pStyle w:val="BIndent"/>
      </w:pPr>
      <w:r>
        <w:t>“</w:t>
      </w:r>
      <w:r>
        <w:rPr>
          <w:b/>
          <w:u w:val="single"/>
        </w:rPr>
        <w:t>Valuation Percentage</w:t>
      </w:r>
      <w:r>
        <w:t xml:space="preserve">” shall have the meaning specified in Section 6.2(d) hereof.  </w:t>
      </w:r>
    </w:p>
    <w:p w14:paraId="2CE2B2F3" w14:textId="77777777" w:rsidR="008D7468" w:rsidRDefault="006A04CB">
      <w:pPr>
        <w:pStyle w:val="BIndent"/>
      </w:pPr>
      <w:r>
        <w:t>“</w:t>
      </w:r>
      <w:r>
        <w:rPr>
          <w:b/>
          <w:u w:val="single"/>
        </w:rPr>
        <w:t>Valuation Time</w:t>
      </w:r>
      <w:r>
        <w:t xml:space="preserve">” shall mean the close of business on the Business Day before the Valuation Date or date of calculation, as applicable.  </w:t>
      </w:r>
    </w:p>
    <w:p w14:paraId="0FF7E966" w14:textId="77777777" w:rsidR="008D7468" w:rsidRDefault="006A04CB">
      <w:pPr>
        <w:pStyle w:val="BIndent"/>
      </w:pPr>
      <w:r>
        <w:t>“</w:t>
      </w:r>
      <w:r>
        <w:rPr>
          <w:b/>
          <w:u w:val="single"/>
        </w:rPr>
        <w:t>Value</w:t>
      </w:r>
      <w:r>
        <w:t xml:space="preserve">” shall mean, with respect to Posted Collateral or Credit Support, the Valuation Percentage multiplied by the amount then available under the Letter of Credit to be unconditionally drawn by Buyer.  </w:t>
      </w:r>
    </w:p>
    <w:p w14:paraId="34C1AEB8" w14:textId="77777777" w:rsidR="008D7468" w:rsidRDefault="006A04CB">
      <w:pPr>
        <w:pStyle w:val="Legal21"/>
      </w:pPr>
      <w:bookmarkStart w:id="1" w:name="_Toc177887372"/>
      <w:r>
        <w:t>EFFECTIVE DATE; TERM</w:t>
      </w:r>
      <w:bookmarkEnd w:id="1"/>
    </w:p>
    <w:p w14:paraId="05589952" w14:textId="77777777" w:rsidR="008D7468" w:rsidRDefault="006A04CB">
      <w:pPr>
        <w:pStyle w:val="Legal22"/>
      </w:pPr>
      <w:bookmarkStart w:id="2" w:name="_Toc177887373"/>
      <w:r>
        <w:rPr>
          <w:u w:val="single"/>
        </w:rPr>
        <w:t>Effective Date</w:t>
      </w:r>
      <w:r>
        <w:t>.  Subject in all respects to Article 8, this Agreement is effective as of the Effective Date.</w:t>
      </w:r>
      <w:bookmarkEnd w:id="2"/>
    </w:p>
    <w:p w14:paraId="32FE956A" w14:textId="77777777" w:rsidR="008D7468" w:rsidRDefault="006A04CB">
      <w:pPr>
        <w:pStyle w:val="Legal22"/>
        <w:keepNext/>
      </w:pPr>
      <w:bookmarkStart w:id="3" w:name="_Toc177887374"/>
      <w:r>
        <w:rPr>
          <w:u w:val="single"/>
        </w:rPr>
        <w:t>Term</w:t>
      </w:r>
      <w:r>
        <w:t>.</w:t>
      </w:r>
      <w:bookmarkEnd w:id="3"/>
    </w:p>
    <w:p w14:paraId="6BB6C6F1" w14:textId="77777777" w:rsidR="008D7468" w:rsidRDefault="006A04CB">
      <w:pPr>
        <w:pStyle w:val="Legal23"/>
      </w:pPr>
      <w:r>
        <w:t>The “</w:t>
      </w:r>
      <w:r>
        <w:rPr>
          <w:b/>
          <w:u w:val="single"/>
        </w:rPr>
        <w:t>Term</w:t>
      </w:r>
      <w:r>
        <w:t>” of this Agreement is the period beginning on the Effective Date and ending upon the final settlement of all obligations hereunder after the expiration of the Services Term or the earlier termination of this Agreement in accordance with its terms.</w:t>
      </w:r>
    </w:p>
    <w:p w14:paraId="5DFAF7AC" w14:textId="042BC9DC" w:rsidR="008D7468" w:rsidRDefault="006A04CB">
      <w:pPr>
        <w:pStyle w:val="Legal23"/>
      </w:pPr>
      <w:r>
        <w:t>The “</w:t>
      </w:r>
      <w:r>
        <w:rPr>
          <w:b/>
          <w:u w:val="single"/>
        </w:rPr>
        <w:t>Services Term</w:t>
      </w:r>
      <w:r>
        <w:t xml:space="preserve">” is the period during which Buyer is obligated to purchase Products Delivered to Buyer by Seller (which shall not include Energy and RECs Delivered during the Test Period) commencing on the Commercial Operation Date and continuing for a period </w:t>
      </w:r>
      <w:r w:rsidRPr="00E24506">
        <w:t>of [10 to 15]</w:t>
      </w:r>
      <w:r>
        <w:t xml:space="preserve"> years from the Commercial Operation Date, unless this Agreement is earlier terminated in accordance with the provisions hereof.</w:t>
      </w:r>
    </w:p>
    <w:p w14:paraId="7FFC5F84" w14:textId="77777777" w:rsidR="008D7468" w:rsidRDefault="006A04CB">
      <w:pPr>
        <w:pStyle w:val="Legal23"/>
      </w:pPr>
      <w:r>
        <w:t xml:space="preserve">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w:t>
      </w:r>
      <w:r>
        <w:lastRenderedPageBreak/>
        <w:t>arising under this Agreement before such expiration or termination, and (iii) the obligations of the Parties hereunder with respect to confidentiality and indemnification shall survive the expiration or termination of this Agreement.</w:t>
      </w:r>
    </w:p>
    <w:p w14:paraId="0FE94996" w14:textId="77777777" w:rsidR="008D7468" w:rsidRDefault="006A04CB">
      <w:pPr>
        <w:pStyle w:val="Legal21"/>
      </w:pPr>
      <w:bookmarkStart w:id="4" w:name="_Toc177887375"/>
      <w:r>
        <w:t>FACILITY DEVELOPMENT AND OPERATION</w:t>
      </w:r>
      <w:bookmarkEnd w:id="4"/>
    </w:p>
    <w:p w14:paraId="03B8B213" w14:textId="77777777" w:rsidR="008D7468" w:rsidRDefault="006A04CB">
      <w:pPr>
        <w:pStyle w:val="Legal22"/>
        <w:keepNext/>
      </w:pPr>
      <w:bookmarkStart w:id="5" w:name="_Toc177887376"/>
      <w:r>
        <w:rPr>
          <w:u w:val="single"/>
        </w:rPr>
        <w:t>Critical Milestones</w:t>
      </w:r>
      <w:r>
        <w:t>.</w:t>
      </w:r>
      <w:bookmarkEnd w:id="5"/>
    </w:p>
    <w:p w14:paraId="5F942751" w14:textId="77777777" w:rsidR="008D7468" w:rsidRDefault="006A04CB">
      <w:pPr>
        <w:pStyle w:val="Legal23"/>
      </w:pPr>
      <w:r w:rsidRPr="00F01046">
        <w:t>Subject</w:t>
      </w:r>
      <w:r>
        <w:t xml:space="preserve"> to the provisions of Section 3.1(d), commencing on the Effective Date, Seller shall develop the Facility in order to achieve the following milestones (“</w:t>
      </w:r>
      <w:r>
        <w:rPr>
          <w:b/>
          <w:u w:val="single"/>
        </w:rPr>
        <w:t>Critical Milestones</w:t>
      </w:r>
      <w:r>
        <w:t>”) on or before the dates set forth in this Section 3.1(a):</w:t>
      </w:r>
    </w:p>
    <w:p w14:paraId="51B532E7" w14:textId="77777777" w:rsidR="008D7468" w:rsidRDefault="006A04CB">
      <w:pPr>
        <w:pStyle w:val="Legal24"/>
      </w:pPr>
      <w:r>
        <w:t>receipt of all Permits necessary to construct the Facility, as set forth in Exhibit B, in final form, by [_________];</w:t>
      </w:r>
    </w:p>
    <w:p w14:paraId="2F6EB803" w14:textId="77777777" w:rsidR="008D7468" w:rsidRDefault="006A04CB">
      <w:pPr>
        <w:pStyle w:val="Legal24"/>
        <w:tabs>
          <w:tab w:val="clear" w:pos="0"/>
          <w:tab w:val="num" w:pos="2880"/>
        </w:tabs>
      </w:pPr>
      <w:r>
        <w:t>acquisition of all required real property rights necessary for construction and operation of the Facility and the interconnection of the Facility to the Interconnecting Utility in full and final form with all options and/or contingencies having been exercised demonstrating complete site control as set forth in Exhibit B, by [_________];</w:t>
      </w:r>
    </w:p>
    <w:p w14:paraId="72DE647B" w14:textId="08BA0F02" w:rsidR="00501A9A" w:rsidRDefault="00501A9A" w:rsidP="00501A9A">
      <w:pPr>
        <w:pStyle w:val="Legal24"/>
      </w:pPr>
      <w:r>
        <w:t>execution of the Interconnection Agreement by all parties thereto by [_________];</w:t>
      </w:r>
    </w:p>
    <w:p w14:paraId="7C1F1A9C" w14:textId="3E1D6831" w:rsidR="00501A9A" w:rsidRPr="00501A9A" w:rsidRDefault="00501A9A" w:rsidP="00501A9A">
      <w:pPr>
        <w:pStyle w:val="Legal24"/>
      </w:pPr>
      <w:r>
        <w:rPr>
          <w:rStyle w:val="ui-provider"/>
        </w:rPr>
        <w:t>qualification determination notification under the ISO-NE Tariff Section III.13.1 with respect to the Generating Capacity Resource’s participation in the Forward Capacity Auction, stating summer and winter qualified capacity and a list of transmission upgrades required, if any, by [_________];</w:t>
      </w:r>
    </w:p>
    <w:p w14:paraId="48E974ED" w14:textId="77777777" w:rsidR="00F01046" w:rsidRDefault="006A04CB">
      <w:pPr>
        <w:pStyle w:val="Legal24"/>
        <w:tabs>
          <w:tab w:val="clear" w:pos="0"/>
          <w:tab w:val="num" w:pos="2880"/>
        </w:tabs>
      </w:pPr>
      <w:r>
        <w:t xml:space="preserve">closing of the Financing or other demonstration to Buyer’s satisfaction of the financial capability to construct the Facility, including, as applicable, Seller’s financial obligations with respect to interconnection of the Facility to the Interconnecting Utility and construction of the Network Upgrades by [__________] [on or before ______]; </w:t>
      </w:r>
    </w:p>
    <w:p w14:paraId="7023E8F6" w14:textId="77777777" w:rsidR="00F01046" w:rsidRDefault="00F01046" w:rsidP="00F01046">
      <w:pPr>
        <w:pStyle w:val="Legal24"/>
      </w:pPr>
      <w:r w:rsidRPr="00F01046">
        <w:t>issuance of a full notice to proceed by Seller to its general contractor</w:t>
      </w:r>
      <w:r>
        <w:t>;</w:t>
      </w:r>
    </w:p>
    <w:p w14:paraId="45961ABD" w14:textId="58B1BDB0" w:rsidR="008D7468" w:rsidRDefault="00F01046" w:rsidP="00F01046">
      <w:pPr>
        <w:pStyle w:val="Legal24"/>
      </w:pPr>
      <w:r w:rsidRPr="00F01046">
        <w:t>commencement of construction of the Facility by [_________];</w:t>
      </w:r>
      <w:r>
        <w:t xml:space="preserve"> and</w:t>
      </w:r>
    </w:p>
    <w:p w14:paraId="2A8CA1B9" w14:textId="7F1A6732" w:rsidR="008D7468" w:rsidRDefault="006A04CB">
      <w:pPr>
        <w:pStyle w:val="Legal24"/>
        <w:tabs>
          <w:tab w:val="clear" w:pos="0"/>
          <w:tab w:val="num" w:pos="2880"/>
        </w:tabs>
      </w:pPr>
      <w:r>
        <w:t>achievement of the Commercial Operation Date by [___________] (“</w:t>
      </w:r>
      <w:r>
        <w:rPr>
          <w:b/>
          <w:u w:val="single"/>
        </w:rPr>
        <w:t>Guaranteed Commercial Operation Date</w:t>
      </w:r>
      <w:r>
        <w:t>”).</w:t>
      </w:r>
    </w:p>
    <w:p w14:paraId="7025009C" w14:textId="77777777" w:rsidR="008D7468" w:rsidRDefault="006A04CB">
      <w:pPr>
        <w:pStyle w:val="Legal23"/>
      </w:pPr>
      <w:r>
        <w:lastRenderedPageBreak/>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14:paraId="569548AC" w14:textId="52ED8860" w:rsidR="008D7468" w:rsidRDefault="00D316EC">
      <w:pPr>
        <w:pStyle w:val="Legal23"/>
        <w:tabs>
          <w:tab w:val="clear" w:pos="0"/>
          <w:tab w:val="num" w:pos="2160"/>
        </w:tabs>
      </w:pPr>
      <w:r w:rsidRPr="00D316EC">
        <w:t>If Seller reasonably determines that Seller will be unable to achieve the Critical Milestones notwithstanding Seller’s diligent efforts, Seller may request from Buyer, in writing, an</w:t>
      </w:r>
      <w:r>
        <w:t xml:space="preserve"> extension to all of the dates for the Critical Milestones not yet achieved by up to four six-month periods from the applicable dates set forth in Section 3.1(a) (</w:t>
      </w:r>
      <w:r w:rsidRPr="00D316EC">
        <w:t>each a “</w:t>
      </w:r>
      <w:r w:rsidRPr="00CB11B9">
        <w:rPr>
          <w:b/>
          <w:bCs/>
          <w:u w:val="single"/>
        </w:rPr>
        <w:t>Critical Milestone</w:t>
      </w:r>
      <w:r w:rsidR="00CB11B9">
        <w:rPr>
          <w:b/>
          <w:bCs/>
          <w:u w:val="single"/>
        </w:rPr>
        <w:t>s</w:t>
      </w:r>
      <w:r w:rsidRPr="00CB11B9">
        <w:rPr>
          <w:b/>
          <w:bCs/>
          <w:u w:val="single"/>
        </w:rPr>
        <w:t xml:space="preserve"> Extension Request</w:t>
      </w:r>
      <w:r w:rsidRPr="00D316EC">
        <w:t>”)</w:t>
      </w:r>
      <w:r>
        <w:t xml:space="preserve">.  </w:t>
      </w:r>
      <w:r w:rsidRPr="00D316EC">
        <w:t xml:space="preserve">Any and all Critical Milestone Extension Requests shall </w:t>
      </w:r>
      <w:r>
        <w:t>be delivered to Buyer at least thirty (30) days prior to the first date for a Critical Milestone that has not yet been achieved (as such date may have previously been extended)</w:t>
      </w:r>
      <w:r w:rsidRPr="0019755E">
        <w:t xml:space="preserve"> </w:t>
      </w:r>
      <w:r>
        <w:t xml:space="preserve">and shall include (i) a reasonably detailed description of Seller’s diligent efforts to achieve the Critical Milestones, (ii) a reasonably detailed description of the reasons Seller will be unable to achieve one or more of the Critical </w:t>
      </w:r>
      <w:r w:rsidRPr="00206B9C">
        <w:t>Milestones, (iii) a reasonably detailed plan to achieve the applicable Critical Milestones during the requested extension period,</w:t>
      </w:r>
      <w:r>
        <w:t xml:space="preserve"> and (iv) evidence that Seller has</w:t>
      </w:r>
      <w:r w:rsidRPr="0019755E">
        <w:t xml:space="preserve"> </w:t>
      </w:r>
      <w:r>
        <w:t>posted additional Development Period Security in an amount equal to $</w:t>
      </w:r>
      <w:r w:rsidR="001A30CA">
        <w:t>5</w:t>
      </w:r>
      <w:r>
        <w:t>,000 per MWh per hour of Contract Maximum Amount) which such additional Development Period Security shall be due for each such six-month period Critical Milestone Extension Request requested by Seller.  Buyer shall notify Seller, in writing, whether Buyer consents to any such extension, which consent shall not be unreasonably withheld, conditioned, or delayed</w:t>
      </w:r>
      <w:r w:rsidR="00CB11B9">
        <w:t xml:space="preserve">.  No </w:t>
      </w:r>
      <w:r w:rsidR="001A30CA">
        <w:t xml:space="preserve">extension of the dates for the Critical Milestones </w:t>
      </w:r>
      <w:r w:rsidR="00CB11B9">
        <w:t xml:space="preserve">shall be </w:t>
      </w:r>
      <w:r w:rsidR="001A30CA">
        <w:t xml:space="preserve">(or shall be deemed to be) </w:t>
      </w:r>
      <w:r w:rsidR="00CB11B9">
        <w:t xml:space="preserve">granted </w:t>
      </w:r>
      <w:r w:rsidR="001A30CA">
        <w:t>unless</w:t>
      </w:r>
      <w:r w:rsidR="00CB11B9">
        <w:t xml:space="preserve"> Buyer</w:t>
      </w:r>
      <w:r w:rsidR="001A30CA">
        <w:t xml:space="preserve"> provides</w:t>
      </w:r>
      <w:r w:rsidR="00CB11B9">
        <w:t xml:space="preserve"> written consent</w:t>
      </w:r>
      <w:r w:rsidR="00676D9E">
        <w:t xml:space="preserve"> thereof</w:t>
      </w:r>
      <w:r w:rsidR="001A30CA">
        <w:t xml:space="preserve"> to </w:t>
      </w:r>
      <w:proofErr w:type="gramStart"/>
      <w:r w:rsidR="001A30CA">
        <w:t>Seller</w:t>
      </w:r>
      <w:r w:rsidR="00CB11B9">
        <w:t xml:space="preserve">.  </w:t>
      </w:r>
      <w:r>
        <w:t>.</w:t>
      </w:r>
      <w:proofErr w:type="gramEnd"/>
      <w:r w:rsidR="00CB11B9">
        <w:t xml:space="preserve"> </w:t>
      </w:r>
    </w:p>
    <w:p w14:paraId="3811CCD2" w14:textId="6F5BA37B" w:rsidR="008D7468" w:rsidRDefault="006A04CB">
      <w:pPr>
        <w:pStyle w:val="Legal23"/>
        <w:tabs>
          <w:tab w:val="clear" w:pos="0"/>
          <w:tab w:val="num" w:pos="2160"/>
        </w:tabs>
      </w:pPr>
      <w:r>
        <w:t>To the extent a Force Majeure event pursuant to Section 10.1 has occurred that prevents the Seller from achieving the Critical Milestone date for acquisition of real property rights and interconnection (</w:t>
      </w:r>
      <w:r w:rsidRPr="00337E04">
        <w:t>Section 3.1</w:t>
      </w:r>
      <w:r>
        <w:t>(a)(ii)) or the Commercial Operation Date (Section 3.1(a)(</w:t>
      </w:r>
      <w:r w:rsidR="006422F0">
        <w:t>vi</w:t>
      </w:r>
      <w:r w:rsidR="00337E04">
        <w:t>ii</w:t>
      </w:r>
      <w:r>
        <w:t>)) by the applicable Milestone date, the Critical Milestone Date(s) impacted by such Force Majeure event shall be extended for the duration of the Force Majeure event, but under no circumstances shall extensions of those Critical Milestone dates due to Force Majeure events exceed twelve (12) months beyond the applicable Milestone date, and further provided, that the Seller shall not have the right to declare a Force Majeure event related to the Permits Critical Milestone (Section 3.1(a)(i)) or the Financing Critical Milestone (Section 3.1(a)(</w:t>
      </w:r>
      <w:r w:rsidR="006422F0">
        <w:t>v</w:t>
      </w:r>
      <w:r>
        <w:t>)).</w:t>
      </w:r>
    </w:p>
    <w:p w14:paraId="1DEB6211" w14:textId="77777777" w:rsidR="008D7468" w:rsidRDefault="006A04CB">
      <w:pPr>
        <w:pStyle w:val="Legal23"/>
        <w:tabs>
          <w:tab w:val="clear" w:pos="0"/>
          <w:tab w:val="num" w:pos="2160"/>
        </w:tabs>
      </w:pPr>
      <w:r>
        <w:t>The Parties agree that time is of the essence with respect to the Critical Milestones and is part of the consideration to Buyer in entering into this Agreement.</w:t>
      </w:r>
    </w:p>
    <w:p w14:paraId="6A1DEE7B" w14:textId="77777777" w:rsidR="008D7468" w:rsidRDefault="006A04CB">
      <w:pPr>
        <w:pStyle w:val="Legal22"/>
        <w:keepNext/>
      </w:pPr>
      <w:bookmarkStart w:id="6" w:name="_Toc177887377"/>
      <w:r>
        <w:rPr>
          <w:u w:val="single"/>
        </w:rPr>
        <w:t>Delay Damages</w:t>
      </w:r>
      <w:r>
        <w:t>.</w:t>
      </w:r>
      <w:bookmarkEnd w:id="6"/>
    </w:p>
    <w:p w14:paraId="1952C964" w14:textId="4FAB7014" w:rsidR="008D7468" w:rsidRDefault="006A04CB">
      <w:pPr>
        <w:pStyle w:val="Legal23"/>
        <w:tabs>
          <w:tab w:val="clear" w:pos="0"/>
          <w:tab w:val="num" w:pos="2160"/>
        </w:tabs>
      </w:pPr>
      <w:r>
        <w:t xml:space="preserve">If the Commercial Operation Date is not achieved by the Guaranteed Commercial Operation Date (as </w:t>
      </w:r>
      <w:r w:rsidR="00EE3985">
        <w:t xml:space="preserve">may be </w:t>
      </w:r>
      <w:r>
        <w:t xml:space="preserve">extended pursuant to Sections 3.1(c) </w:t>
      </w:r>
      <w:r w:rsidR="00EE3985">
        <w:t xml:space="preserve">or </w:t>
      </w:r>
      <w:r>
        <w:t xml:space="preserve">10.1), Seller shall pay to Buyer damages for each day from and after such date in an amount equal to $100.00 per MWh per hour of Contract Maximum Amount, commencing on the Guaranteed Commercial Operation Date (as </w:t>
      </w:r>
      <w:r w:rsidR="00EE3985">
        <w:t xml:space="preserve">may be </w:t>
      </w:r>
      <w:r>
        <w:t xml:space="preserve">extended pursuant to Sections 3.1(c) </w:t>
      </w:r>
      <w:r w:rsidR="00EE3985">
        <w:t xml:space="preserve">or </w:t>
      </w:r>
      <w:r>
        <w:t xml:space="preserve">10.1) and ending on the earlier of (i) the Commercial Operation Date, (ii) the date that Buyer exercises its right to </w:t>
      </w:r>
      <w:r>
        <w:lastRenderedPageBreak/>
        <w:t>terminate this Agreement under Section 9.3, or (iii) the date that is twelve (12) months after the Guaranteed Commercial Operation Date (“</w:t>
      </w:r>
      <w:r>
        <w:rPr>
          <w:b/>
          <w:u w:val="single"/>
        </w:rPr>
        <w:t>Delay Damages</w:t>
      </w:r>
      <w: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14:paraId="1804B99A" w14:textId="77777777" w:rsidR="008D7468" w:rsidRDefault="006A04CB">
      <w:pPr>
        <w:pStyle w:val="Legal23"/>
        <w:tabs>
          <w:tab w:val="clear" w:pos="0"/>
          <w:tab w:val="num" w:pos="2160"/>
        </w:tabs>
      </w:pPr>
      <w:r>
        <w:t>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Seller’s failure to achieve the Commercial Operation Date.  Any such termination damages shall be determined in accordance with Article 9.</w:t>
      </w:r>
    </w:p>
    <w:p w14:paraId="08510C3C" w14:textId="77777777" w:rsidR="008D7468" w:rsidRDefault="006A04CB">
      <w:pPr>
        <w:pStyle w:val="Legal23"/>
        <w:tabs>
          <w:tab w:val="clear" w:pos="0"/>
          <w:tab w:val="num" w:pos="2160"/>
        </w:tabs>
      </w:pPr>
      <w:r>
        <w:t>By the fifteenth (15</w:t>
      </w:r>
      <w:r w:rsidRPr="00676D9E">
        <w:rPr>
          <w:vertAlign w:val="superscript"/>
        </w:rPr>
        <w:t>th</w:t>
      </w:r>
      <w:r>
        <w:t>) day following the end of the calendar month in which Delay Damages first become due and continuing by the fifteenth (15</w:t>
      </w:r>
      <w:r w:rsidRPr="00676D9E">
        <w:rPr>
          <w:vertAlign w:val="superscript"/>
        </w:rPr>
        <w:t>th</w:t>
      </w:r>
      <w:r>
        <w:t>) day of each calendar month during the period in which Delay Damages accrue (and the following months if applicable), Buyer shall deliver to Seller an invoice showing Buyer’s computation of such damages and any amount due Buyer in respect thereof for the preceding calendar month.  No 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Default hereunder.</w:t>
      </w:r>
    </w:p>
    <w:p w14:paraId="284F119F" w14:textId="77777777" w:rsidR="008D7468" w:rsidRDefault="006A04CB">
      <w:pPr>
        <w:pStyle w:val="Legal22"/>
        <w:keepNext/>
      </w:pPr>
      <w:bookmarkStart w:id="7" w:name="_Toc177887378"/>
      <w:r>
        <w:rPr>
          <w:u w:val="single"/>
        </w:rPr>
        <w:t>Construction and Changes in Capacity</w:t>
      </w:r>
      <w:r>
        <w:t>.</w:t>
      </w:r>
      <w:bookmarkEnd w:id="7"/>
    </w:p>
    <w:p w14:paraId="7C63C099" w14:textId="77777777" w:rsidR="008D7468" w:rsidRDefault="006A04CB">
      <w:pPr>
        <w:pStyle w:val="Legal23"/>
        <w:tabs>
          <w:tab w:val="clear" w:pos="0"/>
          <w:tab w:val="num" w:pos="2160"/>
        </w:tabs>
      </w:pPr>
      <w:r>
        <w:rPr>
          <w:u w:val="single"/>
        </w:rPr>
        <w:t>Construction of Facility</w:t>
      </w:r>
      <w: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14:paraId="19E0A47F" w14:textId="77777777" w:rsidR="008D7468" w:rsidRDefault="006A04CB">
      <w:pPr>
        <w:pStyle w:val="Legal23"/>
      </w:pPr>
      <w:r>
        <w:rPr>
          <w:u w:val="single"/>
        </w:rPr>
        <w:t>Capacity Deficiency</w:t>
      </w:r>
      <w:r>
        <w:t>.  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commensurate with the Capacity Deficiency, which reduced Contract Maximum Amount shall be stated in a notice from Buyer to Seller, which notice shall be binding absent manifest error.</w:t>
      </w:r>
    </w:p>
    <w:p w14:paraId="5A1359CD" w14:textId="77777777" w:rsidR="008D7468" w:rsidRDefault="006A04CB">
      <w:pPr>
        <w:pStyle w:val="Legal23"/>
      </w:pPr>
      <w:r>
        <w:rPr>
          <w:u w:val="single"/>
        </w:rPr>
        <w:lastRenderedPageBreak/>
        <w:t>Increase in Facility Size</w:t>
      </w:r>
      <w:r>
        <w:t>.  To the extent that Seller has constructed the Facility in accordance with Good Utility Practice,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w:t>
      </w:r>
    </w:p>
    <w:p w14:paraId="3368FA1F" w14:textId="77777777" w:rsidR="008D7468" w:rsidRDefault="006A04CB">
      <w:pPr>
        <w:pStyle w:val="Legal23"/>
      </w:pPr>
      <w:r>
        <w:rPr>
          <w:u w:val="single"/>
        </w:rPr>
        <w:t>Progress Reports</w:t>
      </w:r>
      <w:r>
        <w:t>.  Within ten (10) days of the end of each calendar quarter after the Effective Date and until the Commercial Operation Date, Seller shall provide Buyer with a progress report regarding Critical Milestones not yet achieved, including projected time to completion of the Facility, in accordance with the form attached hereto as Exhibit C, and shall provide supporting documents and detail regarding the same upon Buyer’s request.  Seller shall permit Buyer and its advisors and consultants to review and discuss with Seller and its advisors and consultants such progress reports during business hours and upon reasonable notice to Seller.</w:t>
      </w:r>
    </w:p>
    <w:p w14:paraId="5D503946" w14:textId="7EF78D86" w:rsidR="008D7468" w:rsidRDefault="006A04CB">
      <w:pPr>
        <w:pStyle w:val="Legal23"/>
      </w:pPr>
      <w:r>
        <w:rPr>
          <w:u w:val="single"/>
        </w:rPr>
        <w:t>Site Access</w:t>
      </w:r>
      <w:r>
        <w:t xml:space="preserve">.  </w:t>
      </w:r>
      <w:r w:rsidR="00514B61">
        <w:t xml:space="preserve">At any and all times during the Term, </w:t>
      </w:r>
      <w:r>
        <w:t xml:space="preserve">Buyer and its </w:t>
      </w:r>
      <w:r w:rsidR="008D3673">
        <w:t xml:space="preserve">personnel, advisors, engineers, consultants, and other </w:t>
      </w:r>
      <w:r>
        <w:t>representatives shall have the right</w:t>
      </w:r>
      <w:r w:rsidR="008D3673">
        <w:t>,</w:t>
      </w:r>
      <w:r>
        <w:t xml:space="preserve"> but not the obligation, during business hours and upon reasonable notice to Seller, to </w:t>
      </w:r>
      <w:r w:rsidR="008D3673">
        <w:t xml:space="preserve">observe, </w:t>
      </w:r>
      <w:r>
        <w:t>inspect</w:t>
      </w:r>
      <w:r w:rsidR="008D3673">
        <w:t>, review, and monitor</w:t>
      </w:r>
      <w:r>
        <w:t xml:space="preserve"> the Facility site and </w:t>
      </w:r>
      <w:r w:rsidR="008D3673">
        <w:t>all construction, operations, and activities</w:t>
      </w:r>
      <w:r>
        <w:t xml:space="preserve"> of the Facility, subject to Seller’s reasonable site access rules.</w:t>
      </w:r>
      <w:r w:rsidR="00514B61">
        <w:t xml:space="preserve">  Seller shall permit and shall not otherwise obstruct or delay any such access by</w:t>
      </w:r>
      <w:r w:rsidR="00514B61" w:rsidRPr="00514B61">
        <w:t xml:space="preserve"> </w:t>
      </w:r>
      <w:r w:rsidR="00514B61">
        <w:t xml:space="preserve">Buyer and its personnel, advisors, engineers, consultants, and other representatives. </w:t>
      </w:r>
      <w:r w:rsidR="008D3673">
        <w:t xml:space="preserve">  </w:t>
      </w:r>
    </w:p>
    <w:p w14:paraId="69B20D3E" w14:textId="77777777" w:rsidR="008D7468" w:rsidRDefault="006A04CB">
      <w:pPr>
        <w:pStyle w:val="Legal22"/>
        <w:keepNext/>
      </w:pPr>
      <w:bookmarkStart w:id="8" w:name="_Toc177887379"/>
      <w:r>
        <w:rPr>
          <w:u w:val="single"/>
        </w:rPr>
        <w:t>Commercial Operation</w:t>
      </w:r>
      <w:r>
        <w:t>.</w:t>
      </w:r>
      <w:bookmarkEnd w:id="8"/>
    </w:p>
    <w:p w14:paraId="6EB2E30E" w14:textId="77777777" w:rsidR="008D7468" w:rsidRDefault="006A04CB">
      <w:pPr>
        <w:pStyle w:val="Legal23"/>
      </w:pPr>
      <w:r>
        <w:t>Seller’s obligation to Deliver the Products and Buyer’s obligation to pay Seller for such Products commences on the Commercial Operation Date; provided, that Energy and RECs generated by the Facility prior to the Commercial Operation Date (the “</w:t>
      </w:r>
      <w:r>
        <w:rPr>
          <w:b/>
          <w:u w:val="single"/>
        </w:rPr>
        <w:t>Test Period</w:t>
      </w:r>
      <w:r>
        <w:t>”) shall not be deemed Products.</w:t>
      </w:r>
    </w:p>
    <w:p w14:paraId="5FBD80A0" w14:textId="77777777" w:rsidR="008D7468" w:rsidRDefault="006A04CB">
      <w:pPr>
        <w:pStyle w:val="Legal23"/>
      </w:pPr>
      <w:r>
        <w:t>The Commercial Operation Date shall occur on the date on which the Facility as described in Exhibit A is completed (subject, if applicable, to a Capacity Deficiency so long as the Actual Facility Size on the Commercial Operation Date is (1) at least ninety percent (90%) of the proposed nameplate capacity of the Facility as set forth in Exhibit A, and (2) not more than ten (10) MW less than the proposed nameplate capacity of the Facility set forth in Exhibit A) and capable of regular commercial operation in accordance with Good Utility Practice, the manufacturer’s guidelines for all material components of the Facility, all requirements of the ISO-NE Rules and ISO-NE Practices for the delivery of the Products to the Buyer have been satisfied, and all performance testing for the Facility has been successfully completed, provided Seller has also satisfied the following conditions precedent as of such date:</w:t>
      </w:r>
    </w:p>
    <w:p w14:paraId="03FC73BD" w14:textId="77777777" w:rsidR="008D7468" w:rsidRDefault="006A04CB">
      <w:pPr>
        <w:pStyle w:val="Legal24"/>
      </w:pPr>
      <w:r>
        <w:t xml:space="preserve">completion of all transmission and interconnection facilities and any Network Upgrades, including final acceptance and authorization to interconnect the Facility from ISO-NE or the Interconnecting Utility in accordance with the fully executed Interconnection Agreement and as required to interconnect the Facility at a level that is capable of satisfying the Interconnection </w:t>
      </w:r>
      <w:r>
        <w:lastRenderedPageBreak/>
        <w:t>Point at the Capacity Capability Interconnection Standard under the ISO-NE Rules;</w:t>
      </w:r>
    </w:p>
    <w:p w14:paraId="06F0C592" w14:textId="77777777" w:rsidR="008D7468" w:rsidRDefault="006A04CB">
      <w:pPr>
        <w:pStyle w:val="Legal24"/>
      </w:pPr>
      <w:r>
        <w:t>all Related Transmission Facilities as set forth in Exhibit E are complete and in-service;</w:t>
      </w:r>
    </w:p>
    <w:p w14:paraId="5DD83672" w14:textId="77777777" w:rsidR="008D7468" w:rsidRDefault="006A04CB">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14:paraId="4AADAD66" w14:textId="77777777" w:rsidR="008D7468" w:rsidRDefault="006A04CB">
      <w:pPr>
        <w:pStyle w:val="Legal24"/>
      </w:pPr>
      <w:r>
        <w:t>Seller has obtained qualification by the applicable regulatory authority for the state of Rhode Island qualifying the Facility as an Eligible Renewable Energy Resource;</w:t>
      </w:r>
    </w:p>
    <w:p w14:paraId="03E1F0CF" w14:textId="77777777" w:rsidR="008D7468" w:rsidRDefault="006A04CB">
      <w:pPr>
        <w:pStyle w:val="Legal24"/>
      </w:pPr>
      <w:r>
        <w:t>all Related Transmission Approvals have been received;</w:t>
      </w:r>
    </w:p>
    <w:p w14:paraId="0DDFE502" w14:textId="77777777" w:rsidR="008D7468" w:rsidRDefault="006A04CB">
      <w:pPr>
        <w:pStyle w:val="Legal24"/>
      </w:pPr>
      <w:r>
        <w:t>Seller has acquired all real property rights needed to construct and operate the Facility, to interconnect the Facility to the Interconnecting Utility, to construct the Network Upgrades (to the extent that it is Seller’s responsibility to do so) and to perform Seller’s obligations under this Agreement;</w:t>
      </w:r>
    </w:p>
    <w:p w14:paraId="61612CDB" w14:textId="77777777" w:rsidR="008D7468" w:rsidRDefault="006A04CB">
      <w:pPr>
        <w:pStyle w:val="Legal24"/>
      </w:pPr>
      <w:r>
        <w:t>Seller (or the party with whom Seller contracts pursuant to Section 3.5(e)) has established all ISO-NE-related accounts and entered into all ISO-NE-related agreements required for the performance of Seller’s obligations in connection with the Facility and this Agreement, which agreements shall be in full force and effect, including the registration of the Facility in the GIS;</w:t>
      </w:r>
    </w:p>
    <w:p w14:paraId="6802B110" w14:textId="77777777" w:rsidR="008D7468" w:rsidRDefault="006A04CB">
      <w:pPr>
        <w:pStyle w:val="Legal24"/>
      </w:pPr>
      <w:r>
        <w:t xml:space="preserve">Seller has provided to Buyer I.3.9 Confirmation from ISO-NE regarding approval of generation entry, has submitted the Asset Registration Form (as defined in ISO-NE Practices) for the Facility to ISO-NE and has taken such other actions as are necessary to effect the Delivery of the Energy to Buyer in the ISO Settlement Market System; </w:t>
      </w:r>
    </w:p>
    <w:p w14:paraId="4A4F950B" w14:textId="77777777" w:rsidR="008D7468" w:rsidRDefault="006A04CB">
      <w:pPr>
        <w:pStyle w:val="Legal24"/>
      </w:pPr>
      <w:r>
        <w:t>Seller has successfully completed all pre-operational testing and commissioning in accordance with manufacturer guidelines;</w:t>
      </w:r>
    </w:p>
    <w:p w14:paraId="6A15A5DA" w14:textId="77777777" w:rsidR="008D7468" w:rsidRDefault="006A04CB">
      <w:pPr>
        <w:pStyle w:val="Legal24"/>
      </w:pPr>
      <w:r>
        <w:t>Seller has satisfied all Critical Milestones that precede the Commercial Operation Date in Section 3.1;</w:t>
      </w:r>
    </w:p>
    <w:p w14:paraId="5B889ABF" w14:textId="77777777" w:rsidR="008D7468" w:rsidRDefault="006A04CB">
      <w:pPr>
        <w:pStyle w:val="Legal24"/>
      </w:pPr>
      <w:r>
        <w:t xml:space="preserve">no Default or Event of Default by Seller shall have occurred and remain uncured; </w:t>
      </w:r>
    </w:p>
    <w:p w14:paraId="22A58993" w14:textId="77777777" w:rsidR="008D7468" w:rsidRDefault="006A04CB">
      <w:pPr>
        <w:pStyle w:val="Legal24"/>
      </w:pPr>
      <w:r>
        <w:lastRenderedPageBreak/>
        <w:t>the Facility is owned or leased by, and under the care, custody and control of, Seller;</w:t>
      </w:r>
    </w:p>
    <w:p w14:paraId="439B8D5E" w14:textId="77777777" w:rsidR="008D7468" w:rsidRDefault="006A04CB">
      <w:pPr>
        <w:pStyle w:val="Legal24"/>
      </w:pPr>
      <w:r>
        <w:t>Seller has delivered to Buyer:</w:t>
      </w:r>
    </w:p>
    <w:p w14:paraId="418B1522" w14:textId="77777777" w:rsidR="008D7468" w:rsidRDefault="006A04CB">
      <w:pPr>
        <w:pStyle w:val="Legal25"/>
      </w:pPr>
      <w:r>
        <w:t>an Independent Engineer’s certification stating (i) that the Facility has been completed in all material respects (excepting punchlist items that do not materially and adversely affect the ability of the Facility to operate as intended hereunder) in accordance with this Agreement, and (ii) the Actual Facility Size;</w:t>
      </w:r>
    </w:p>
    <w:p w14:paraId="0FB685DB" w14:textId="77777777" w:rsidR="008D7468" w:rsidRDefault="006A04CB">
      <w:pPr>
        <w:pStyle w:val="Legal25"/>
      </w:pPr>
      <w:r>
        <w:t xml:space="preserve">certificates of insurance evidencing the coverages required under Section 3.5(i); and </w:t>
      </w:r>
    </w:p>
    <w:p w14:paraId="6839E77E" w14:textId="77777777" w:rsidR="008D7468" w:rsidRDefault="006A04CB">
      <w:pPr>
        <w:pStyle w:val="Legal24"/>
      </w:pPr>
      <w:r>
        <w:t>Seller has demonstrated that it can reliably transmit real time data and measurements to ISO-NE.</w:t>
      </w:r>
    </w:p>
    <w:p w14:paraId="1072AAD0" w14:textId="77777777" w:rsidR="008D7468" w:rsidRDefault="006A04CB">
      <w:pPr>
        <w:pStyle w:val="Legal22"/>
        <w:keepNext/>
      </w:pPr>
      <w:bookmarkStart w:id="9" w:name="_Toc177887380"/>
      <w:r>
        <w:rPr>
          <w:u w:val="single"/>
        </w:rPr>
        <w:t>Operation of the Facility</w:t>
      </w:r>
      <w:r>
        <w:t>.</w:t>
      </w:r>
      <w:bookmarkEnd w:id="9"/>
    </w:p>
    <w:p w14:paraId="1A0F9F78" w14:textId="77777777" w:rsidR="008D7468" w:rsidRDefault="006A04CB">
      <w:pPr>
        <w:pStyle w:val="Legal23"/>
      </w:pPr>
      <w:r>
        <w:rPr>
          <w:u w:val="single"/>
        </w:rPr>
        <w:t>Compliance With Utility Requirements</w:t>
      </w:r>
      <w:r>
        <w:t>.  Seller shall comply with, and shall cause the Facility to comply with:  (i) Good Utility Practice; (ii) the Operational Limitations; and (iii)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Seller’s construction, ownership, operation and maintenance of the Facility and its performance of its obligations under this Agreement (including obligations related to the generation, Scheduling, interconnection, and transmission of Energy, and the transfer of RECs), whether such requirements were imposed prior to or after the Effective Date.  Seller shall be solely responsible for registering as the “Generator Owner and Generator Operator” of the Facility with NERC and any applicable regional reliability entities, as applicable.</w:t>
      </w:r>
    </w:p>
    <w:p w14:paraId="64657105" w14:textId="77777777" w:rsidR="008D7468" w:rsidRDefault="006A04CB">
      <w:pPr>
        <w:pStyle w:val="Legal23"/>
      </w:pPr>
      <w:r>
        <w:rPr>
          <w:u w:val="single"/>
        </w:rPr>
        <w:t>Permits</w:t>
      </w:r>
      <w:r>
        <w:t>.  Seller shall maintain or cause to be maintained in full force and effect all Permits necessary for it to perform its obligations under this Agreement, including all Permits necessary to construct, operate and maintain the Facility and all Related Transmission Approvals.</w:t>
      </w:r>
    </w:p>
    <w:p w14:paraId="22ADB006" w14:textId="77777777" w:rsidR="008D7468" w:rsidRDefault="006A04CB">
      <w:pPr>
        <w:pStyle w:val="Legal23"/>
      </w:pPr>
      <w:r>
        <w:rPr>
          <w:u w:val="single"/>
        </w:rPr>
        <w:t>Maintenance and Operation of Facility</w:t>
      </w:r>
      <w:r>
        <w:t>.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14:paraId="7C469C89" w14:textId="77777777" w:rsidR="008D7468" w:rsidRDefault="006A04CB">
      <w:pPr>
        <w:pStyle w:val="Legal23"/>
      </w:pPr>
      <w:r>
        <w:rPr>
          <w:u w:val="single"/>
        </w:rPr>
        <w:t>Interconnection Agreement</w:t>
      </w:r>
      <w:r>
        <w:t xml:space="preserve">.  Seller shall comply with the terms and conditions of the Interconnection Agreement and shall be responsible for obtaining </w:t>
      </w:r>
      <w:r>
        <w:lastRenderedPageBreak/>
        <w:t>interconnection of the Facility at the Interconnection Point at a level that is capable of satisfying the Capacity Capability Interconnection Standard under the ISO-NE Rules.</w:t>
      </w:r>
    </w:p>
    <w:p w14:paraId="3BF0231D" w14:textId="77777777" w:rsidR="008D7468" w:rsidRDefault="006A04CB">
      <w:pPr>
        <w:pStyle w:val="Legal23"/>
      </w:pPr>
      <w:r>
        <w:rPr>
          <w:u w:val="single"/>
        </w:rPr>
        <w:t>ISO-NE Status</w:t>
      </w:r>
      <w:r>
        <w:t>.  Seller shall, at all times during the Services Term, either:  (i) be an ISO-NE “Market Participant” pursuant to the ISO-NE Rules; or (ii) have entered into an agreement with a Market Participant that shall perform all of Seller’s ISO-NE-related obligations in connection with the Facility and this Agreement.</w:t>
      </w:r>
    </w:p>
    <w:p w14:paraId="067FE662" w14:textId="77777777" w:rsidR="008D7468" w:rsidRDefault="006A04CB">
      <w:pPr>
        <w:pStyle w:val="Legal23"/>
      </w:pPr>
      <w:r>
        <w:rPr>
          <w:u w:val="single"/>
        </w:rPr>
        <w:t>Forecasts</w:t>
      </w:r>
      <w:r>
        <w:t>.  Commencing at least thirty (30) days prior to the anticipated Commercial Operation Date and continuing throughout the Term, Seller shall update and deliver to Buyer on an annual basis and in a form reasonably acceptable to Buyer, twelve (12) month rolling forecasts of Energy production by the Facility,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w:t>
      </w:r>
    </w:p>
    <w:p w14:paraId="73B5DEB8" w14:textId="77777777" w:rsidR="008D7468" w:rsidRDefault="006A04CB">
      <w:pPr>
        <w:pStyle w:val="Legal23"/>
      </w:pPr>
      <w:r>
        <w:rPr>
          <w:u w:val="single"/>
        </w:rPr>
        <w:t>Newly Developed Renewable Energy Resource</w:t>
      </w:r>
      <w:r>
        <w:t>.  Subject to Section 4.7(b), Seller shall be solely responsible at Seller’s cost for qualifying the Facility as a Newly Developed Renewable Energy Resource and maintaining such qualification and status as an Eligible Renewable Energy Resource throughout the Services Term.  Seller shall take all actions necessary to register for and maintain participation in the GIS to register, monitor, track, and transfer RECs.  Seller shall provide such additional information as Buyer may request relating to such qualification and participation and the registration, monitoring, tracking and transfer of RECs.</w:t>
      </w:r>
    </w:p>
    <w:p w14:paraId="232E1DA0" w14:textId="77777777" w:rsidR="008D7468" w:rsidRDefault="006A04CB">
      <w:pPr>
        <w:pStyle w:val="Legal23"/>
      </w:pPr>
      <w:r>
        <w:rPr>
          <w:u w:val="single"/>
        </w:rPr>
        <w:t>Compliance Reporting</w:t>
      </w:r>
      <w:r>
        <w:t>.  Within thirty (30) days following the end of each calendar quarter, Seller shall provide Buyer information pertaining to emissions, fuel types, labor information and any other information 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14:paraId="5F0483E7" w14:textId="77777777" w:rsidR="0093489F" w:rsidRDefault="0093489F" w:rsidP="0093489F">
      <w:pPr>
        <w:pStyle w:val="Legal23"/>
      </w:pPr>
      <w:r>
        <w:rPr>
          <w:u w:val="single"/>
        </w:rPr>
        <w:t>Insurance</w:t>
      </w:r>
      <w:r>
        <w:t xml:space="preserve">.  </w:t>
      </w:r>
    </w:p>
    <w:p w14:paraId="4B4510A1" w14:textId="77777777" w:rsidR="0093489F" w:rsidRDefault="0093489F" w:rsidP="0093489F">
      <w:pPr>
        <w:pStyle w:val="Legal24"/>
      </w:pPr>
      <w:r>
        <w:t>Seller shall, and shall cause all subcontractors, if any, to, at Seller’s sole cost as part of the Agreement, purchase and maintain the minimum insurance coverages specified in this Section and in Exhibit G (the “</w:t>
      </w:r>
      <w:r w:rsidRPr="006C662D">
        <w:rPr>
          <w:b/>
          <w:bCs/>
          <w:u w:val="single"/>
        </w:rPr>
        <w:t>Required Coverages</w:t>
      </w:r>
      <w:r>
        <w:t xml:space="preserve">”), and shall maintain such coverages in full force and effect through the Term. All insurance shall be placed with insurance companies fully licensed to do </w:t>
      </w:r>
      <w:r>
        <w:lastRenderedPageBreak/>
        <w:t xml:space="preserve">business in the state where the Facility is located, and include all of the requirements set forth in in this Section 3.5(i) and Exhibit G. The insurance company or companies must have an A.M. Best Insurance Rating of at least ‘A-' or better and financial strength category of VIII or higher. </w:t>
      </w:r>
    </w:p>
    <w:p w14:paraId="339BD6EB" w14:textId="77777777" w:rsidR="0093489F" w:rsidRDefault="0093489F" w:rsidP="0093489F">
      <w:pPr>
        <w:pStyle w:val="Legal24"/>
      </w:pPr>
      <w:r>
        <w:t xml:space="preserve">Each insurance policy is required hereunder (whether by Exhibit G or otherwise by this Agreement), except Workers’ Compensation/Employer’s Liability, shall identify Buyer and its officers, directors and employees as additional insureds and shall include a waiver of subrogation in favor of the additional insureds. The insurance coverages afforded under the insurance policies hereunder shall (x) be primary and non-contributing with respect to any insurance carried independently by the additional insureds, and (y) indicate that as respects the insureds (whether named or otherwise), cross-liability and severability of interests shall exist for all coverage provided thereunder. </w:t>
      </w:r>
    </w:p>
    <w:p w14:paraId="7C90B475" w14:textId="77777777" w:rsidR="0093489F" w:rsidRDefault="0093489F" w:rsidP="0093489F">
      <w:pPr>
        <w:pStyle w:val="Legal24"/>
      </w:pPr>
      <w:r>
        <w:t>Concurrently with the execution of this Agreement, Seller shall provide Buyer with the following insurance documents evidencing the insurance required pursuant to this Section 3.5(i):</w:t>
      </w:r>
    </w:p>
    <w:p w14:paraId="5667EA75" w14:textId="77777777" w:rsidR="0093489F" w:rsidRDefault="0093489F" w:rsidP="0093489F">
      <w:pPr>
        <w:pStyle w:val="Legal25"/>
      </w:pPr>
      <w:r>
        <w:t>A certificate of insurance evidencing the required coverage to Buyer; and</w:t>
      </w:r>
    </w:p>
    <w:p w14:paraId="6B9A7161" w14:textId="77777777" w:rsidR="0093489F" w:rsidRDefault="0093489F" w:rsidP="0093489F">
      <w:pPr>
        <w:pStyle w:val="Legal25"/>
      </w:pPr>
      <w:r>
        <w:t>An endorsement or endorsements adding Buyer as an additional insured on the primary and excess general liability policies, as required in Exhibit G.</w:t>
      </w:r>
    </w:p>
    <w:p w14:paraId="1EFC7F24" w14:textId="1EEBAF0D" w:rsidR="0093489F" w:rsidRDefault="0093489F" w:rsidP="0093489F">
      <w:pPr>
        <w:pStyle w:val="Legal24"/>
      </w:pPr>
      <w:r>
        <w:t xml:space="preserve">Seller shall not commence construction of the Facility under this Agreement until it has procured, and furnished Buyer with the documents required to be delivered under this Section and all insurance required under this Agreement is in full force and effect in accordance herewith. </w:t>
      </w:r>
    </w:p>
    <w:p w14:paraId="57A646F1" w14:textId="77777777" w:rsidR="0093489F" w:rsidRDefault="0093489F" w:rsidP="0093489F">
      <w:pPr>
        <w:pStyle w:val="Legal24"/>
      </w:pPr>
      <w:r>
        <w:t>Notwithstanding anything to the contrary contained in this Agreement, Buyer shall neither have any obligation to insure against, nor be responsible for, any loss or damage to tools, materials or other property of any kind owned, rented or leased by Seller or any subcontractors, or any of their respective employees, consultants or agents.</w:t>
      </w:r>
    </w:p>
    <w:p w14:paraId="20FC749A" w14:textId="77777777" w:rsidR="0093489F" w:rsidRDefault="0093489F" w:rsidP="0093489F">
      <w:pPr>
        <w:pStyle w:val="Legal24"/>
      </w:pPr>
      <w:r>
        <w:t>The required coverages, provisions and limitations of this Section 3.5(i) shall not limit Seller’s liability, and Buyer, at its discretion and upon notice to Seller, may increase the minimum limits of coverage for those insurance policies that Seller is required to maintain under this Agreement.</w:t>
      </w:r>
    </w:p>
    <w:p w14:paraId="4D865B39" w14:textId="77777777" w:rsidR="0093489F" w:rsidRPr="0093489F" w:rsidRDefault="0093489F" w:rsidP="00AC1EDA">
      <w:pPr>
        <w:pStyle w:val="Legal2Cont3"/>
      </w:pPr>
    </w:p>
    <w:p w14:paraId="3888AF2F" w14:textId="77777777" w:rsidR="008D7468" w:rsidRDefault="006A04CB">
      <w:pPr>
        <w:pStyle w:val="Legal23"/>
      </w:pPr>
      <w:r>
        <w:rPr>
          <w:u w:val="single"/>
        </w:rPr>
        <w:t>Contacts</w:t>
      </w:r>
      <w:r>
        <w:t>.  Each Party shall identify a principal contact or contacts, which contact(s) shall have adequate authority and expertise to make day-to-day decisions with respect to the administration of this Agreement.</w:t>
      </w:r>
    </w:p>
    <w:p w14:paraId="6EB57883" w14:textId="77777777" w:rsidR="008D7468" w:rsidRDefault="006A04CB">
      <w:pPr>
        <w:pStyle w:val="Legal23"/>
      </w:pPr>
      <w:r>
        <w:rPr>
          <w:u w:val="single"/>
        </w:rPr>
        <w:t>Compliance with Law</w:t>
      </w:r>
      <w: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or NERC requirements.  For the avoidance of doubt, Seller shall be responsible for procuring, at its expense, all Permits and governmental approvals required for the construction and operation of the Facility in compliance with applicable requirements of Law.</w:t>
      </w:r>
    </w:p>
    <w:p w14:paraId="42DD1CA5" w14:textId="77777777" w:rsidR="008D7468" w:rsidRDefault="006A04CB">
      <w:pPr>
        <w:pStyle w:val="Legal23"/>
      </w:pPr>
      <w:r>
        <w:rPr>
          <w:u w:val="single"/>
        </w:rPr>
        <w:t>FERC Status</w:t>
      </w:r>
      <w:r>
        <w:t>.  Seller shall be responsible for ensuring that it is in compliance with all FERC directives and requirements necessary for Seller to fulfill its obligations under this Agreement.  As part of Seller’s satisfaction of this responsibility, it shall maintain the Facility’s status as a QF or EWG (to the extent Seller meets the criteria for such status) at all times on and after the Commercial Operation Date and shall obtain and maintain any requisite authority to sell the output of the Facility at market-based rates, including market-based rate authority to the extent applicable.  If Seller certifies the Facility as a QF, for so long as this Agreement is in effect, Seller waives, and agrees not to assert, any rights Seller may have to require Buyer to purchase or transmit electric power or to pay a specified price for electric power by virtue of the status of the Facility as a QF.</w:t>
      </w:r>
    </w:p>
    <w:p w14:paraId="37A0C4E0" w14:textId="77777777" w:rsidR="008D7468" w:rsidRDefault="006A04CB">
      <w:pPr>
        <w:pStyle w:val="Legal23"/>
      </w:pPr>
      <w:r>
        <w:rPr>
          <w:u w:val="single"/>
        </w:rPr>
        <w:t>[Emissions</w:t>
      </w:r>
      <w:r>
        <w:t xml:space="preserve">.  Seller shall be responsible for all costs associated with the Facility’s emissions, including the cost of procuring emission reductions, offsets, allowances or similar items associated with the Facility’s emissions, to the extent required to operate the Facility.  Without limiting the generality of the foregoing, failure or inability of Seller to procure emission reductions, offsets, allowances or similar items associated with the Facility’s emissions shall not constitute a Force Majeure.] </w:t>
      </w:r>
    </w:p>
    <w:p w14:paraId="2DADA489" w14:textId="77777777" w:rsidR="008D7468" w:rsidRDefault="006A04CB">
      <w:pPr>
        <w:pStyle w:val="Legal23"/>
      </w:pPr>
      <w:r>
        <w:rPr>
          <w:u w:val="single"/>
        </w:rPr>
        <w:t>Maintenance</w:t>
      </w:r>
      <w:r>
        <w:t xml:space="preserve">.  No later than (a) the Commercial Operation Date and (b) two months prior to the end of each calendar year thereafter during the Term, Seller shall submit to Buyer a schedule of planned maintenance for the following calendar year for the Facility.  Throughout the Term, Seller shall coordinate all planned maintenance, consistent with ISO-NE Rules, and shall promptly provide applicable information concerning scheduled outages, as determined by ISO-NE, to Buyer.  To maximize the value of the Products, to the extent possible and consistent with ISO-NE Rules, Seller shall not schedule maintenance of the Facility during the months of December, January and February or June through September, and shall operate the Facility so as to maximize energy production during the hours of anticipated peak load and Energy prices in New England; provided, however, that planned maintenance may be scheduled </w:t>
      </w:r>
      <w:r>
        <w:lastRenderedPageBreak/>
        <w:t>during such period to the extent the failure to perform such planned maintenance is contrary to operation of the Facility in accordance with Good Utility Practice.</w:t>
      </w:r>
    </w:p>
    <w:p w14:paraId="798DE978" w14:textId="77777777" w:rsidR="008D7468" w:rsidRDefault="006A04CB">
      <w:pPr>
        <w:pStyle w:val="Legal22"/>
        <w:keepNext/>
      </w:pPr>
      <w:bookmarkStart w:id="10" w:name="_Toc177887381"/>
      <w:r>
        <w:rPr>
          <w:u w:val="single"/>
        </w:rPr>
        <w:t>Interconnection and Delivery Services</w:t>
      </w:r>
      <w:r>
        <w:t>.</w:t>
      </w:r>
      <w:bookmarkEnd w:id="10"/>
    </w:p>
    <w:p w14:paraId="5442884B" w14:textId="77777777" w:rsidR="008D7468" w:rsidRDefault="006A04CB">
      <w:pPr>
        <w:pStyle w:val="Legal23"/>
      </w:pPr>
      <w:r>
        <w:t>Seller shall be responsible for all costs associated with interconnection of the Facility at the Interconnection Point at a level that is capable of satisfying the Capacity Capability Interconnection Standard under the ISO-NE Rules and with Delivery of the Energy at the Delivery Point, including the costs of the Network Upgrades, consistent with all standards and requirements set forth by the FERC, ISO-NE, any other applicable Governmental Entity and the Interconnecting Utility.  Seller shall be responsible for procuring delivery service and all costs associated with it.</w:t>
      </w:r>
    </w:p>
    <w:p w14:paraId="17738E13" w14:textId="77777777" w:rsidR="008D7468" w:rsidRDefault="006A04CB">
      <w:pPr>
        <w:pStyle w:val="Legal23"/>
      </w:pPr>
      <w: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14:paraId="471E26CC" w14:textId="5B9444DD" w:rsidR="008D7468" w:rsidRDefault="006A04CB">
      <w:pPr>
        <w:pStyle w:val="Legal22"/>
      </w:pPr>
      <w:bookmarkStart w:id="11" w:name="_Toc177887382"/>
      <w:r>
        <w:rPr>
          <w:u w:val="single"/>
        </w:rPr>
        <w:t>Forward Capacity Market Participation</w:t>
      </w:r>
      <w:r>
        <w:t xml:space="preserve">. Seller shall participate in the Forward Capacity Auction qualification process as required to allow Seller to qualify the maximum summer Seasonal Claimed Capability </w:t>
      </w:r>
      <w:r w:rsidRPr="003B2EB2">
        <w:t>and</w:t>
      </w:r>
      <w:r>
        <w:t xml:space="preserve"> the maximum winter Seasonal Claimed Capability levels indicated and supported by the required site-specific summer and winter data relevant to the expected performance of the Facility no later than the Guaranteed Commercial Operation Date, as it may be extended pursuant to Sections 3.1(c) and </w:t>
      </w:r>
      <w:r w:rsidR="003B2EB2">
        <w:t>10</w:t>
      </w:r>
      <w:r>
        <w:t>.1.  The Parties acknowledge and agree that such participation by Seller is only to allow ISO-NE to determine the Network Upgrades required to deliver such Seasonal Claimed Capability. Seller shall cause such Network Upgrades to be completed prior to the Commercial Operation Date (as provided in Section 3.4(b)), and Seller shall pay all costs for such Network Upgrades.</w:t>
      </w:r>
      <w:bookmarkEnd w:id="11"/>
      <w:r>
        <w:t xml:space="preserve">  </w:t>
      </w:r>
    </w:p>
    <w:p w14:paraId="6AC34D47" w14:textId="77777777" w:rsidR="008D7468" w:rsidRDefault="006A04CB">
      <w:pPr>
        <w:pStyle w:val="Legal21"/>
      </w:pPr>
      <w:bookmarkStart w:id="12" w:name="_Toc177887383"/>
      <w:r>
        <w:t>DELIVERY OF PRODUCTS</w:t>
      </w:r>
      <w:bookmarkEnd w:id="12"/>
    </w:p>
    <w:p w14:paraId="61788F95" w14:textId="77777777" w:rsidR="008D7468" w:rsidRDefault="006A04CB">
      <w:pPr>
        <w:pStyle w:val="Legal22"/>
        <w:keepNext/>
      </w:pPr>
      <w:bookmarkStart w:id="13" w:name="_Toc177887384"/>
      <w:r>
        <w:rPr>
          <w:u w:val="single"/>
        </w:rPr>
        <w:t>Obligation to Sell and Purchase Products</w:t>
      </w:r>
      <w:r>
        <w:t>.</w:t>
      </w:r>
      <w:bookmarkEnd w:id="13"/>
    </w:p>
    <w:p w14:paraId="6B7509A8" w14:textId="14F8A938" w:rsidR="008D7468" w:rsidRDefault="00162B97">
      <w:pPr>
        <w:pStyle w:val="Legal23"/>
      </w:pPr>
      <w:r w:rsidRPr="00162B97">
        <w:t xml:space="preserve">Beginning on the Commercial Operation Date and subject to the terms of this Agreement including without limitation, Section 4.1(b) and Section 10, Seller shall sell and Deliver, and Buyer shall purchase and receive all right, title and interest in and to, Buyer’s Percentage Entitlement of the Products in accordance with the terms and conditions of this Agreement, but in no event exceeding the lesser of (1) the Buyer’s Percentage Entitlement of the total Metered Output in such hour or (2) the Contract Maximum Amount in such hour, in accordance with the terms and conditions of this Agreement.  For the avoidance of doubt, (i) if the amount of Metered Output generated by the Facility during any hour is in excess of Scheduled Energy or the Contract Maximum Amount for that hour, the Products associated with such excess shall not be considered to be Products for such period for purposes of this Agreement, and (ii) if the amount of Scheduled Energy in any hour exceeds the Metered Output generated by the Facility in that hour or the Contract Maximum Amount for that hour, the Products associated with such excess shall not be considered to be Products for such period for </w:t>
      </w:r>
      <w:r w:rsidRPr="00162B97">
        <w:lastRenderedPageBreak/>
        <w:t xml:space="preserve">purposes of this Agreement.  The </w:t>
      </w:r>
      <w:proofErr w:type="gramStart"/>
      <w:r w:rsidRPr="00162B97">
        <w:t>aforementioned obligations</w:t>
      </w:r>
      <w:proofErr w:type="gramEnd"/>
      <w:r w:rsidRPr="00162B97">
        <w:t xml:space="preserve"> for Seller to sell and Deliver the Products and for Buyer to purchase and receive the same are Unit Contingent and shall be subject to the operation of the Facility.  Such Products must be supplied by Seller to Buyer only from the Facility.  , including periods when the Facility is unable to generate due to maintenance, equipment malfunction, forced outage, or other operational </w:t>
      </w:r>
      <w:proofErr w:type="spellStart"/>
      <w:r w:rsidRPr="00162B97">
        <w:t>limitations.Except</w:t>
      </w:r>
      <w:proofErr w:type="spellEnd"/>
      <w:r w:rsidRPr="00162B97">
        <w:t xml:space="preserve"> as may be expressly permitted under this Agreement, Seller shall not (x) abandon, retire, cease operating, or decommission all or any portion of the Facility, (y) modify, change, or convert all or any portion of the Facility, or (z) cease or reduce Facility operations, or curtail or otherwise reduce the output or delivery of Products from the Facility; in any such case whether to avoid Seller’s Delivery obligations under this Agreement, sell Products, goods or other materials to third parties, or otherwise.  Seller agrees that Seller will not curtail or otherwise reduce deliveries of the Products </w:t>
      </w:r>
      <w:proofErr w:type="gramStart"/>
      <w:r w:rsidRPr="00162B97">
        <w:t>in order to</w:t>
      </w:r>
      <w:proofErr w:type="gramEnd"/>
      <w:r w:rsidRPr="00162B97">
        <w:t xml:space="preserve"> sell such Products to other purchasers.  To maximize the value of the Products, to the extent possible and consistent with ISO-NE Rules, other applicable Independent System Operator requirements, and Good Utility Practice, Seller shall use commercially reasonable efforts to maximize the production and Delivery of Energy during the time periods of anticipated peak load and peak Energy prices in New England. </w:t>
      </w:r>
      <w:r w:rsidR="006A04CB">
        <w:t>Buyer shall not be obligated to accept or pay for any REC or comparable certificate, credit, attribute or other similar product produced by or associated with the Facility which fails to satisfy or maintain its eligibility for the Renewable Energy Standard as an Environmental Attribute associated with the specified MWh of generation from Newly Developed Renewable Energy Resource, and, to the extent that Buyer does not purchase any such REC or comparable certificate, credit, attribute or other similar product associated with the Facility, Seller may, in its sole discretion, sell, transfer or otherwise dispose of that REC or comparable certificate, credit, attribute or other similar product.  In the event that the Buyer notifies Seller that it will not purchase any REC or comparable certificate, credit, attribute or other similar product produced by the Facility that fails to satisfy the Renewable  Energy Standard as an Environmental Attribute associated with the specified MWh of generation from a Newly Developed Renewable Energy Resource, then Buyer may resume purchasing such RECs or comparable certificates, credits, attributes or other similar products produced by the Facility upon thirty (30) days’ prior written notice to Seller, unless otherwise agreed by Buyer and Seller.</w:t>
      </w:r>
    </w:p>
    <w:p w14:paraId="0400704A" w14:textId="77777777" w:rsidR="008D7468" w:rsidRDefault="006A04CB">
      <w:pPr>
        <w:pStyle w:val="Legal23"/>
      </w:pPr>
      <w:r>
        <w:t>Seller shall Deliver Buyer’s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w:t>
      </w:r>
    </w:p>
    <w:p w14:paraId="1FE07CE9" w14:textId="77777777" w:rsidR="008D7468" w:rsidRDefault="006A04CB">
      <w:pPr>
        <w:pStyle w:val="Legal22"/>
        <w:keepNext/>
      </w:pPr>
      <w:bookmarkStart w:id="14" w:name="_Toc177887385"/>
      <w:r>
        <w:rPr>
          <w:u w:val="single"/>
        </w:rPr>
        <w:t>Scheduling and Delivery</w:t>
      </w:r>
      <w:r>
        <w:t>.</w:t>
      </w:r>
      <w:bookmarkEnd w:id="14"/>
    </w:p>
    <w:p w14:paraId="0224A8B3" w14:textId="77777777" w:rsidR="008D7468" w:rsidRDefault="006A04CB">
      <w:pPr>
        <w:pStyle w:val="Legal23"/>
      </w:pPr>
      <w:r>
        <w:t xml:space="preserve">During the Services Term and in accordance with Section 4.1, Seller shall Schedule and Deliver Energy hereunder with ISO-NE within the defined Operational Limitations of the Facility and in accordance with this Agreement and all ISO-NE Practices and ISO-NE Rules, to Buyer through Internal Bilateral Transactions executed through ISO-NE and settled at the Delivery Point, in each case accordance with all ISO-NE Practices and ISO-NE Rules.  Any such Internal Bilateral Transactions will specify the hourly delivery of Energy and will be </w:t>
      </w:r>
      <w:r>
        <w:lastRenderedPageBreak/>
        <w:t>entered into daily, with any necessary adjustments being made pursuant to ISO-NE settlement protocols, and Seller will not receive any payment associated with a Marginal Loss Revenue Fund allocation in connection with any such Internal Bilateral Transactions.  Any such Internal Bilateral Transactions will be entered in the Day Ahead Energy Market or, as reasonably agreed from time to time by Buyer, in the Real Time Energy Market, and consistent with ISO-NE Rules and ISO-NE Practices at the time, and Buyer shall have no obligation to pay for any Energy not transferred to Buyer in the Day Ahead Energy Market or Real Time Energy Market or for which Buyer is not credited in the ISO-NE Settlement Market System (including, without limitation, as a result of an outage on any electric transmission system).  Notwithstanding any other provision of this Agreement, if during the Term of this Agreement the LMP at the Delivery Point is negative, or, in the reasonable opinion of Seller, is likely to become negative, then Seller may deliver to Buyer a written notice stating that such condition has occurred or is likely to occur and the period during which such condition has occurred or is likely to occur.  Buyer and Seller hereby agree that in such event Seller shall be under no obligation to schedule or Deliver Products to the Delivery Point during such period.  Seller shall provide Buyer with detailed information, including but not limited to, the start and stop times of such periods of curtailment under this Section 4.2(a) as well as the quantity curtailed, for all such periods of non-delivery during the preceding calendar month which information shall be provided prior to Seller’s delivery of the invoice to Buyer.</w:t>
      </w:r>
    </w:p>
    <w:p w14:paraId="53689B64" w14:textId="77777777" w:rsidR="008D7468" w:rsidRDefault="006A04CB">
      <w:pPr>
        <w:pStyle w:val="Legal23"/>
      </w:pPr>
      <w:r>
        <w:t>The Parties agree to use commercially reasonable efforts to comply with all applicable ISO-NE Rules and ISO-NE Practices in connection with the Scheduling and Delivery of Energy hereunder.  Without limiting the foregoing, Seller shall submit an Internal Bilateral Transaction for the Energy by the applicable scheduling deadline and Buyer shall confirm the Internal Bilateral Transaction submitted by Seller by the applicable scheduling deadline.  Penalties or similar charges assessed by a Transmission Provider and caused by Seller’s noncompliance with the Scheduling obligations set forth in this Section 4.2 shall be the responsibility of Seller.</w:t>
      </w:r>
    </w:p>
    <w:p w14:paraId="6F1E264A" w14:textId="77777777" w:rsidR="008D7468" w:rsidRDefault="006A04CB">
      <w:pPr>
        <w:pStyle w:val="Legal23"/>
      </w:pPr>
      <w:r>
        <w:t xml:space="preserve">Without limiting the generality of this </w:t>
      </w:r>
      <w:r w:rsidRPr="00D569FF">
        <w:t>Section</w:t>
      </w:r>
      <w:r>
        <w:t xml:space="preserve"> 4.2, Seller or the party with whom Seller contracts pursuant to Section 3.5(e) shall at all times during the Services Term be designated with ISO-NE as the “Lead Market Participant” (or any successor designation) for the Facility and shall be solely responsible for any obligations and liabilities imposed by ISO-NE under the ISO-NE Rules and ISO-NE Practices with respect to the Facility, including all charges, penalties, financial assurance obligations, losses, transmission charges, ancillary service charges, line losses, congestion charges and other ISO-NE or applicable system costs or charges associated with transmission.  To the extent Buyer incurs such costs, charges, penalties or losses which are the responsibility of Seller, (including amounts not credited to Buyer as described in Section 4.2(a)), Seller shall reimburse Buyer for the same.</w:t>
      </w:r>
    </w:p>
    <w:p w14:paraId="72AFE95A" w14:textId="23E6A51F" w:rsidR="008D7468" w:rsidRDefault="006A04CB">
      <w:pPr>
        <w:pStyle w:val="Legal22"/>
      </w:pPr>
      <w:bookmarkStart w:id="15" w:name="_Toc177887386"/>
      <w:r>
        <w:rPr>
          <w:u w:val="single"/>
        </w:rPr>
        <w:t>Failure of Seller to Deliver Products</w:t>
      </w:r>
      <w:r>
        <w:t xml:space="preserve">.  In the event that Seller fails to satisfy its Delivery obligations in accordance with Section 4.1, Section 4.2 and Section 4.7, and such failure is not excused under the express terms of this Agreement (including, without limitation, Section 4.2(a)) (a </w:t>
      </w:r>
      <w:r>
        <w:rPr>
          <w:b/>
        </w:rPr>
        <w:t>“</w:t>
      </w:r>
      <w:r>
        <w:rPr>
          <w:b/>
          <w:u w:val="single"/>
        </w:rPr>
        <w:t>Delivery Failure</w:t>
      </w:r>
      <w:r>
        <w:rPr>
          <w:b/>
        </w:rPr>
        <w:t>”</w:t>
      </w:r>
      <w:r>
        <w:t xml:space="preserve">), Seller shall pay Buyer an amount for such Delivery Failure (measured in MWh and/or RECs) equal to the Cover Damages.  Such payment shall be due no later than the date for Buyer’s payment for the applicable month as set forth in Section 5.2 hereof.  Each Party agrees and acknowledges that (i) the damages that Buyer would incur due </w:t>
      </w:r>
      <w:r>
        <w:lastRenderedPageBreak/>
        <w:t>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bookmarkEnd w:id="15"/>
    </w:p>
    <w:p w14:paraId="6198274A" w14:textId="77777777" w:rsidR="008D7468" w:rsidRDefault="006A04CB">
      <w:pPr>
        <w:pStyle w:val="Legal22"/>
      </w:pPr>
      <w:bookmarkStart w:id="16" w:name="_Toc177887387"/>
      <w:r>
        <w:rPr>
          <w:u w:val="single"/>
        </w:rPr>
        <w:t>Failure by Buyer to Accept Delivery of Products</w:t>
      </w:r>
      <w:r>
        <w:t>.  If Buyer fails to accept all or part of any of the Products to be purchased by Buyer hereunder, and such failure to accept (a) is not the result of Reliability Curtailment or (b) is not otherwise excused under the terms of this Agreement (a “</w:t>
      </w:r>
      <w:r>
        <w:rPr>
          <w:b/>
          <w:u w:val="single"/>
        </w:rPr>
        <w:t>Rejected Purchase</w:t>
      </w:r>
      <w:r>
        <w:t>”),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bookmarkEnd w:id="16"/>
    </w:p>
    <w:p w14:paraId="25283CFE" w14:textId="77777777" w:rsidR="008D7468" w:rsidRDefault="006A04CB">
      <w:pPr>
        <w:pStyle w:val="Legal22"/>
        <w:keepNext/>
        <w:tabs>
          <w:tab w:val="clear" w:pos="0"/>
          <w:tab w:val="num" w:pos="1440"/>
        </w:tabs>
      </w:pPr>
      <w:bookmarkStart w:id="17" w:name="_Toc177887388"/>
      <w:r>
        <w:rPr>
          <w:u w:val="single"/>
        </w:rPr>
        <w:t>Delivery Point</w:t>
      </w:r>
      <w:r>
        <w:t>.</w:t>
      </w:r>
      <w:bookmarkEnd w:id="17"/>
    </w:p>
    <w:p w14:paraId="13B8A076" w14:textId="77777777" w:rsidR="008D7468" w:rsidRDefault="006A04CB">
      <w:pPr>
        <w:pStyle w:val="Legal23"/>
      </w:pPr>
      <w:r>
        <w:t>All Energy shall be Delivered hereunder by Seller to Buyer at the Delivery Point.  Seller shall be responsible for the costs of delivering the Energy to the Delivery Point consistent with all standards and requirements set forth by the FERC, ISO-NE and any other applicable Governmental Entity or applicable tariff.</w:t>
      </w:r>
    </w:p>
    <w:p w14:paraId="2CF08D95" w14:textId="77777777" w:rsidR="008D7468" w:rsidRDefault="006A04CB">
      <w:pPr>
        <w:pStyle w:val="Legal23"/>
      </w:pPr>
      <w:r>
        <w:t>Seller shall be responsible for all applicable charges associated with transmission and interconnection service and delivery charges, including all related administrative fees, uplift, socialized charges, all costs for Network Upgrades, all costs for Related Transmission Facilities, and all other charges in connection with the satisfaction of Seller’s obligations hereunder, including without limitation the Delivery of Energy to and at the Delivery Point.  Seller shall indemnify and hold harmless Buyer for any such charges, fees, costs or expenses imposed upon Buyer by operation of ISO-NE Rules or otherwise in connection with Seller’s performance of its obligations hereunder.</w:t>
      </w:r>
    </w:p>
    <w:p w14:paraId="2374683E" w14:textId="77777777" w:rsidR="008D7468" w:rsidRDefault="006A04CB">
      <w:pPr>
        <w:pStyle w:val="Legal22"/>
        <w:keepNext/>
        <w:tabs>
          <w:tab w:val="clear" w:pos="0"/>
          <w:tab w:val="num" w:pos="1440"/>
        </w:tabs>
      </w:pPr>
      <w:bookmarkStart w:id="18" w:name="_Toc177887389"/>
      <w:r>
        <w:rPr>
          <w:u w:val="single"/>
        </w:rPr>
        <w:t>Metering</w:t>
      </w:r>
      <w:r>
        <w:t>.</w:t>
      </w:r>
      <w:bookmarkEnd w:id="18"/>
    </w:p>
    <w:p w14:paraId="43CFE791" w14:textId="77777777" w:rsidR="008D7468" w:rsidRDefault="006A04CB">
      <w:pPr>
        <w:pStyle w:val="Legal23"/>
      </w:pPr>
      <w:r>
        <w:rPr>
          <w:u w:val="single"/>
        </w:rPr>
        <w:t>Metering</w:t>
      </w:r>
      <w:r>
        <w:t>.  All electric metering associated with the Facility, including the Facility meter and any other real-time meters, billing meters and back-up meters (collectively, the “</w:t>
      </w:r>
      <w:r>
        <w:rPr>
          <w:b/>
          <w:u w:val="single"/>
        </w:rPr>
        <w:t>Meters</w:t>
      </w:r>
      <w:r>
        <w:t>”), shall be installed, operated, maintained and tested at Seller’s expense in accordance with Good Utility Practice and any applicable requirements and standards issued by NERC, the Interconnecting Utility and ISO-NE; provided that each Meter shall be tested at Seller’s expense once each Contract Year.  All Meters used to provide data for the computation of payments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p>
    <w:p w14:paraId="2E5E51E4" w14:textId="5E3F579C" w:rsidR="008D7468" w:rsidRDefault="006A04CB" w:rsidP="002D04B4">
      <w:pPr>
        <w:pStyle w:val="Legal23"/>
      </w:pPr>
      <w:r>
        <w:rPr>
          <w:u w:val="single"/>
        </w:rPr>
        <w:t>Measurements</w:t>
      </w:r>
      <w:r>
        <w:t xml:space="preserve">.  Readings of the Meters at the Facility by the Interconnecting Utility in whose territory the Facility is located (or an independent Person </w:t>
      </w:r>
      <w:r>
        <w:lastRenderedPageBreak/>
        <w:t>mutually acceptable to the Parties) shall be conclusive as to the amount of Energy generated by the Facility; provided however, that Seller, upon request of Buyer and at Buyer’s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  Meter readings shall be adjusted to take into account the losses to Deliver the Energy to the Delivery Point.  Seller shall make recorded meter data available monthly to the Buyer at no cost.</w:t>
      </w:r>
    </w:p>
    <w:p w14:paraId="73787470" w14:textId="77777777" w:rsidR="008D7468" w:rsidRDefault="006A04CB">
      <w:pPr>
        <w:pStyle w:val="Legal23"/>
      </w:pPr>
      <w:r>
        <w:rPr>
          <w:u w:val="single"/>
        </w:rPr>
        <w:t>Inspection, Testing and Calibration</w:t>
      </w:r>
      <w:r>
        <w:t>.  Buyer shall have the right to inspect and test (at its own expense) any of the Meters at the Facility at reasonable times and upon reasonable notice from Buyer to Seller.  Buyer shall have the right to have a representative present during any testing or calibration of the Meters at the Facility by Seller.  Seller shall provide Buyer with timely notice of any such testing or calibration.</w:t>
      </w:r>
    </w:p>
    <w:p w14:paraId="6F17DA01" w14:textId="77777777" w:rsidR="008D7468" w:rsidRDefault="006A04CB">
      <w:pPr>
        <w:pStyle w:val="Legal23"/>
      </w:pPr>
      <w:r>
        <w:rPr>
          <w:u w:val="single"/>
        </w:rPr>
        <w:t>Audit of Meters</w:t>
      </w:r>
      <w:r>
        <w:t>.  Buyer shall have access to the Meters and the right to audit all information and test data related to such Meters.</w:t>
      </w:r>
    </w:p>
    <w:p w14:paraId="0113592B" w14:textId="77777777" w:rsidR="008D7468" w:rsidRDefault="006A04CB">
      <w:pPr>
        <w:pStyle w:val="Legal23"/>
      </w:pPr>
      <w:r>
        <w:rPr>
          <w:u w:val="single"/>
        </w:rPr>
        <w:t>Notice of Malfunction</w:t>
      </w:r>
      <w: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14:paraId="5E508363" w14:textId="2B25BDBC" w:rsidR="008D7468" w:rsidRDefault="006A04CB">
      <w:pPr>
        <w:pStyle w:val="Legal23"/>
      </w:pPr>
      <w:r w:rsidRPr="48E59AA6">
        <w:rPr>
          <w:u w:val="single"/>
        </w:rPr>
        <w:t>Telemetry</w:t>
      </w:r>
      <w:r>
        <w:t>.  The Meters shall be capable of sending meter telemetry data, and Seller shall provide Buyer with simultaneous access to such data at no additional cost to Buyer.  This provision is in addition to Seller’s requirements under ISO-NE Rules and Practices, including ISO-NE Operating Procedure No. 18.</w:t>
      </w:r>
    </w:p>
    <w:p w14:paraId="51CD52B8" w14:textId="77777777" w:rsidR="008D7468" w:rsidRDefault="006A04CB">
      <w:pPr>
        <w:pStyle w:val="Legal22"/>
        <w:keepNext/>
        <w:tabs>
          <w:tab w:val="clear" w:pos="0"/>
          <w:tab w:val="num" w:pos="1440"/>
        </w:tabs>
      </w:pPr>
      <w:bookmarkStart w:id="19" w:name="_Toc177887390"/>
      <w:r>
        <w:rPr>
          <w:u w:val="single"/>
        </w:rPr>
        <w:t>RECs</w:t>
      </w:r>
      <w:r>
        <w:t>.</w:t>
      </w:r>
      <w:bookmarkEnd w:id="19"/>
    </w:p>
    <w:p w14:paraId="4CEB3569" w14:textId="5AD41C3A" w:rsidR="008D7468" w:rsidRDefault="006A04CB">
      <w:pPr>
        <w:pStyle w:val="Legal23"/>
      </w:pPr>
      <w:r>
        <w:t xml:space="preserve">Seller shall transfer to Buyer </w:t>
      </w:r>
      <w:proofErr w:type="gramStart"/>
      <w:r>
        <w:t>all of</w:t>
      </w:r>
      <w:proofErr w:type="gramEnd"/>
      <w:r>
        <w:t xml:space="preserve"> the right, title and interest in and to Buyer’s Percentage Entitlement of the Environmental Attributes, including </w:t>
      </w:r>
      <w:proofErr w:type="gramStart"/>
      <w:r>
        <w:t>any and all</w:t>
      </w:r>
      <w:proofErr w:type="gramEnd"/>
      <w:r>
        <w:t xml:space="preserve"> RECs, generated by, or associated with, the Facility during the Services Term in accordance with the terms of this Section 4.7.  </w:t>
      </w:r>
    </w:p>
    <w:p w14:paraId="766CCB71" w14:textId="77777777" w:rsidR="008D7468" w:rsidRDefault="006A04CB">
      <w:pPr>
        <w:pStyle w:val="Legal23"/>
      </w:pPr>
      <w:r>
        <w:t>Regarding the Renewable Energy Standard:</w:t>
      </w:r>
    </w:p>
    <w:p w14:paraId="46C5A723" w14:textId="77777777" w:rsidR="008D7468" w:rsidRDefault="006A04CB">
      <w:pPr>
        <w:pStyle w:val="Legal24"/>
      </w:pPr>
      <w:r>
        <w:t xml:space="preserve">Except as provided in subsection (ii) of this Section 4.7(b), all Energy provided by Seller to Buyer from the Facility under this Agreement shall meet the requirements for eligibility pursuant to </w:t>
      </w:r>
      <w:r>
        <w:lastRenderedPageBreak/>
        <w:t>the Renewable Energy Standard, and Seller’s failure to satisfy such requirements shall constitute an Event of Default pursuant to Section 9.1(c) of this Agreement except as provided in Section 4.7(b)(ii), below; and</w:t>
      </w:r>
    </w:p>
    <w:p w14:paraId="27A9B193" w14:textId="05E8727E" w:rsidR="008D7468" w:rsidRDefault="006A04CB">
      <w:pPr>
        <w:pStyle w:val="Legal24"/>
      </w:pPr>
      <w:r>
        <w:t>It shall not be an Event of Default under Article 9 if, solely as a result of change in Law, Energy provided by Seller to Buyer from the Facility under this Agreement no longer meets the requirements for eligibility pursuant to the Renewable Energy Standard, provided Seller promptly uses commercially reasonable efforts to ensure that qualification will continue after the change in Law.  If, notwithstanding such commercially reasonable efforts and solely as a result of change in Law, the Facility does not qualify as a Newly Developed Renewable Energy Resource, then (A) Seller shall continue to sell, and Buyer shall continue to purchase Energy under this Agreement at the Adjusted Price in accordance with Section 5.1 and (B) any purchases and sales of RECs shall be in accordance with Section 4.1(b).</w:t>
      </w:r>
    </w:p>
    <w:p w14:paraId="340E0F4C" w14:textId="77777777" w:rsidR="008D7468" w:rsidRDefault="006A04CB">
      <w:pPr>
        <w:pStyle w:val="Legal23"/>
      </w:pPr>
      <w:r>
        <w:t>At Seller’s sole cost, Seller shall also obtain and maintain throughout the Services Term qualification by the applicable regulatory authority under the renewable portfolio standard or similar law of Connecticut, Maine, Massachusetts, New Hampshire, New York and Vermont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w:t>
      </w:r>
    </w:p>
    <w:p w14:paraId="1A6DA79C" w14:textId="77777777" w:rsidR="008D7468" w:rsidRDefault="006A04CB">
      <w:pPr>
        <w:pStyle w:val="Legal23"/>
      </w:pPr>
      <w: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14:paraId="7BC3CCB5" w14:textId="77777777" w:rsidR="008D7468" w:rsidRDefault="006A04CB">
      <w:pPr>
        <w:pStyle w:val="Legal23"/>
      </w:pPr>
      <w:r>
        <w:t xml:space="preserve">Prior to the delivery of any Energy hereunder,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Services Term; provided, however, that no payment shall be due to Seller for any RECs until either (x) the Certificates are actually deposited in Buyer’s GIS account or a GIS account designated by Buyer to Seller in writing, or (y) (i) Buyer and Seller enter such an irrevocable Forward Certificate Transfer of the Certificates to be Delivered to Buyer in the GIS, </w:t>
      </w:r>
      <w:r>
        <w:lastRenderedPageBreak/>
        <w:t>which Forward Certificate Transfer shall be denoted in the GIS as not being capable of rescission by Seller, and (ii) the Energy with which such RECs are associated has been Delivered to Buyer.</w:t>
      </w:r>
    </w:p>
    <w:p w14:paraId="21912F12" w14:textId="77777777" w:rsidR="008D7468" w:rsidRDefault="006A04CB">
      <w:pPr>
        <w:pStyle w:val="Legal23"/>
      </w:pPr>
      <w:r>
        <w:t>The Parties intend for the transactions entered into hereunder to be physically settled, meaning that the RECs are intended to be Delivered in the GIS account of Buyer or its designee as set forth in this Section 4.7.</w:t>
      </w:r>
    </w:p>
    <w:p w14:paraId="59C78DFE" w14:textId="164BCCF1" w:rsidR="008D7468" w:rsidRDefault="006A04CB">
      <w:pPr>
        <w:pStyle w:val="Legal22"/>
        <w:tabs>
          <w:tab w:val="clear" w:pos="0"/>
          <w:tab w:val="num" w:pos="1440"/>
        </w:tabs>
      </w:pPr>
      <w:bookmarkStart w:id="20" w:name="_Toc177887391"/>
      <w:r>
        <w:rPr>
          <w:u w:val="single"/>
        </w:rPr>
        <w:t>Production During Test Period</w:t>
      </w:r>
      <w:r>
        <w:t>.  During the Test Period, Seller shall not sell and Deliver to Buyer, and Buyer shall not purchase and receive, any Energy or RECs produced by or associated with the Facility.</w:t>
      </w:r>
      <w:bookmarkEnd w:id="20"/>
      <w:r>
        <w:t xml:space="preserve">  </w:t>
      </w:r>
    </w:p>
    <w:p w14:paraId="579F3BEA" w14:textId="74AAC85C" w:rsidR="008D7468" w:rsidRDefault="006A04CB">
      <w:pPr>
        <w:pStyle w:val="Legal22"/>
        <w:rPr>
          <w:color w:val="000000"/>
        </w:rPr>
      </w:pPr>
      <w:bookmarkStart w:id="21" w:name="_Toc177887392"/>
      <w:r>
        <w:rPr>
          <w:color w:val="000000"/>
          <w:u w:val="single"/>
        </w:rPr>
        <w:t xml:space="preserve">Biennial </w:t>
      </w:r>
      <w:r>
        <w:rPr>
          <w:u w:val="single"/>
        </w:rPr>
        <w:t xml:space="preserve">Delivery </w:t>
      </w:r>
      <w:r>
        <w:rPr>
          <w:color w:val="000000"/>
          <w:u w:val="single"/>
        </w:rPr>
        <w:t>Requirement</w:t>
      </w:r>
      <w:r>
        <w:rPr>
          <w:color w:val="000000"/>
        </w:rPr>
        <w:t xml:space="preserve">.  </w:t>
      </w:r>
      <w:r>
        <w:t>The Seller shall be obligated to Deliver to Buyer at least fifty percent (50%) of the Energy and associated RECs set forth in the Delivery Schedule for any two consecutive Contract Years, and the Seller’s failure to Deliver such volume of Energy and RECs over any two consecutive Contract Years shall constitute a “</w:t>
      </w:r>
      <w:r>
        <w:rPr>
          <w:b/>
          <w:u w:val="single"/>
        </w:rPr>
        <w:t>Biennial Delivery Deficiency</w:t>
      </w:r>
      <w:r>
        <w:rPr>
          <w:u w:val="single"/>
        </w:rPr>
        <w:t>.</w:t>
      </w:r>
      <w:r>
        <w:t>”   The Biennial Delivery Deficiency shall be calculated as the positive difference between (i) fifty percent (50%)  of the Energy and the associated RECs set forth in the Delivery Schedule during the two consecutive Contract Years at issue and (ii) the Energy and RECs Delivered during those two consecutive Contract Years</w:t>
      </w:r>
      <w:r>
        <w:rPr>
          <w:color w:val="000000"/>
        </w:rPr>
        <w:t xml:space="preserve">; provided, however, that any hours in which </w:t>
      </w:r>
      <w:r>
        <w:t xml:space="preserve">(x) Seller </w:t>
      </w:r>
      <w:r>
        <w:rPr>
          <w:color w:val="000000"/>
        </w:rPr>
        <w:t xml:space="preserve">is excused from </w:t>
      </w:r>
      <w:r>
        <w:t xml:space="preserve">Delivering Energy </w:t>
      </w:r>
      <w:r>
        <w:rPr>
          <w:color w:val="000000"/>
        </w:rPr>
        <w:t xml:space="preserve">and </w:t>
      </w:r>
      <w:r>
        <w:t xml:space="preserve">RECs </w:t>
      </w:r>
      <w:r>
        <w:rPr>
          <w:color w:val="000000"/>
        </w:rPr>
        <w:t xml:space="preserve">under Section </w:t>
      </w:r>
      <w:r>
        <w:t>4.2(a)</w:t>
      </w:r>
      <w:r>
        <w:rPr>
          <w:color w:val="000000"/>
        </w:rPr>
        <w:t xml:space="preserve">, 9.3(a)(ii) or 10.1, or </w:t>
      </w:r>
      <w:r>
        <w:t xml:space="preserve">(y) Buyer </w:t>
      </w:r>
      <w:r>
        <w:rPr>
          <w:color w:val="000000"/>
        </w:rPr>
        <w:t xml:space="preserve">does not accept </w:t>
      </w:r>
      <w:r>
        <w:t xml:space="preserve">Energy </w:t>
      </w:r>
      <w:r>
        <w:rPr>
          <w:color w:val="000000"/>
        </w:rPr>
        <w:t xml:space="preserve">and </w:t>
      </w:r>
      <w:r>
        <w:t xml:space="preserve">RECs </w:t>
      </w:r>
      <w:r>
        <w:rPr>
          <w:color w:val="000000"/>
        </w:rPr>
        <w:t xml:space="preserve">under Section </w:t>
      </w:r>
      <w:r>
        <w:t xml:space="preserve">4.4 </w:t>
      </w:r>
      <w:r>
        <w:rPr>
          <w:color w:val="000000"/>
        </w:rPr>
        <w:t xml:space="preserve">due to a </w:t>
      </w:r>
      <w:r>
        <w:t xml:space="preserve">Reliability Curtailment </w:t>
      </w:r>
      <w:r>
        <w:rPr>
          <w:color w:val="000000"/>
        </w:rPr>
        <w:t xml:space="preserve">will not be included in either clause (i) or clause (ii) of any calculation of a </w:t>
      </w:r>
      <w:r>
        <w:t xml:space="preserve">Biennial Delivery Deficiency.  Seller shall pay Buyer an amount for such Biennial Delivery Deficiency (measured in MWh and/or RECs) equal to the Delivery Deficiency Damages for such Biennial Delivery Deficiency.  Such payment shall be due </w:t>
      </w:r>
      <w:r>
        <w:rPr>
          <w:color w:val="000000"/>
        </w:rPr>
        <w:t xml:space="preserve">no later than the date for </w:t>
      </w:r>
      <w:r>
        <w:t>Buyer</w:t>
      </w:r>
      <w:r>
        <w:rPr>
          <w:color w:val="000000"/>
        </w:rPr>
        <w:t xml:space="preserve">’s first payment in the </w:t>
      </w:r>
      <w:r>
        <w:t xml:space="preserve">Contract Year </w:t>
      </w:r>
      <w:r>
        <w:rPr>
          <w:color w:val="000000"/>
        </w:rPr>
        <w:t xml:space="preserve">immediately succeeding the two </w:t>
      </w:r>
      <w:r>
        <w:t xml:space="preserve">Contract Year </w:t>
      </w:r>
      <w:r>
        <w:rPr>
          <w:color w:val="000000"/>
        </w:rPr>
        <w:t xml:space="preserve">period in which the </w:t>
      </w:r>
      <w:r>
        <w:t xml:space="preserve">Biennial Delivery Deficiency </w:t>
      </w:r>
      <w:r>
        <w:rPr>
          <w:color w:val="000000"/>
        </w:rPr>
        <w:t xml:space="preserve">occurred, as set forth in Section </w:t>
      </w:r>
      <w:r>
        <w:t>5.2 hereof</w:t>
      </w:r>
      <w:r>
        <w:rPr>
          <w:color w:val="000000"/>
        </w:rPr>
        <w:t xml:space="preserve">.  Each </w:t>
      </w:r>
      <w:r>
        <w:t xml:space="preserve">Party </w:t>
      </w:r>
      <w:r>
        <w:rPr>
          <w:color w:val="000000"/>
        </w:rPr>
        <w:t xml:space="preserve">agrees and acknowledges that </w:t>
      </w:r>
      <w:r>
        <w:t xml:space="preserve">(i) </w:t>
      </w:r>
      <w:r>
        <w:rPr>
          <w:color w:val="000000"/>
        </w:rPr>
        <w:t xml:space="preserve">the damages that </w:t>
      </w:r>
      <w:r>
        <w:t xml:space="preserve">Buyer </w:t>
      </w:r>
      <w:r>
        <w:rPr>
          <w:color w:val="000000"/>
        </w:rPr>
        <w:t xml:space="preserve">would incur due to a </w:t>
      </w:r>
      <w:r>
        <w:t>Biennial Delivery Deficiency would be difficult or impossible to predict with certainty, and (ii) it is impractical and difficult to assess actual damages in the circumstances stated, and therefore the Delivery Deficiency Damages as agreed to by the Parties and set forth herein is a fair and reasonable calculation of such damages</w:t>
      </w:r>
      <w:r>
        <w:rPr>
          <w:color w:val="000000"/>
        </w:rPr>
        <w:t>.</w:t>
      </w:r>
      <w:bookmarkEnd w:id="21"/>
    </w:p>
    <w:p w14:paraId="12CA5667" w14:textId="77777777" w:rsidR="008D7468" w:rsidRDefault="006A04CB">
      <w:pPr>
        <w:pStyle w:val="Legal21"/>
      </w:pPr>
      <w:bookmarkStart w:id="22" w:name="_Toc177887393"/>
      <w:r>
        <w:t>PRICE AND PAYMENTS FOR PRODUCTS</w:t>
      </w:r>
      <w:bookmarkEnd w:id="22"/>
    </w:p>
    <w:p w14:paraId="77617173" w14:textId="6E03329C" w:rsidR="008D7468" w:rsidRDefault="006A04CB">
      <w:pPr>
        <w:pStyle w:val="Legal22"/>
      </w:pPr>
      <w:bookmarkStart w:id="23" w:name="_Toc177887394"/>
      <w:r>
        <w:rPr>
          <w:u w:val="single"/>
        </w:rPr>
        <w:t>Price for Products</w:t>
      </w:r>
      <w:r>
        <w:t>.  All Products Delivered to Buyer in accordance with this Agreement shall be purchased by Buyer at the Price specified in Exhibit D; provided, however, that if the RECs fail to satisfy the Renewable Energy Standard as an Environmental Attribute associated with the specified MWh of generation from a Newly Developed Renewable Energy Resource and Buyer does not purchase the RECs pursuant to Section 4.1(b), then all Energy Delivered to Buyer in accordance with this Agreement shall be purchased by Buyer at the Adjusted Price specified in Exhibit D.  Other than the (i) payment for the Products under this Section 5.1, (ii) payments related to Meter testing under Section 4.6(b), (iii) payments related to Meter malfunctions under Section 4.6(e), (iv) payment of any Resale Damages under Section 4.4, (v) payment of interest on late payments under Section 5.3, (vi) payments for reimbursement of Buyer’s Taxes under Section 5.4(a), (vii) return of any Credit Support under Section 6.</w:t>
      </w:r>
      <w:r w:rsidR="00891CD5">
        <w:t>7</w:t>
      </w:r>
      <w:r>
        <w:t xml:space="preserve">, and (viii) payment of any Termination Payment due from Buyer under Section 9.3, Buyer shall not </w:t>
      </w:r>
      <w:r>
        <w:lastRenderedPageBreak/>
        <w:t xml:space="preserve">be required to make any other payments to Seller under this </w:t>
      </w:r>
      <w:r w:rsidRPr="0046140B">
        <w:t>Agreement</w:t>
      </w:r>
      <w:r>
        <w:t>, and Seller shall be solely responsible for all costs and losses incurred by it in connection with the performance of its obligations under this Agreement.  In the event that the LMP for the Energy at the Delivery Point is less than $0.00 per MWh in any hour, Seller shall credit to Buyer, on the appropriate monthly invoice, an amount equal to the product of (i) all Energy delivered in such hour and (ii) the absolute value of the hourly LMP at the Delivery Point.</w:t>
      </w:r>
      <w:bookmarkEnd w:id="23"/>
    </w:p>
    <w:p w14:paraId="704A4648" w14:textId="77777777" w:rsidR="008D7468" w:rsidRDefault="006A04CB">
      <w:pPr>
        <w:pStyle w:val="Legal22"/>
        <w:keepNext/>
      </w:pPr>
      <w:bookmarkStart w:id="24" w:name="_Toc177887395"/>
      <w:r>
        <w:rPr>
          <w:u w:val="single"/>
        </w:rPr>
        <w:t>Payment and Netting</w:t>
      </w:r>
      <w:r>
        <w:t>.</w:t>
      </w:r>
      <w:bookmarkEnd w:id="24"/>
    </w:p>
    <w:p w14:paraId="6C771B95" w14:textId="77777777" w:rsidR="008D7468" w:rsidRDefault="006A04CB">
      <w:pPr>
        <w:pStyle w:val="Legal23"/>
      </w:pPr>
      <w:r>
        <w:rPr>
          <w:u w:val="single"/>
        </w:rPr>
        <w:t>Billing Period</w:t>
      </w:r>
      <w: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Energy Delivered in the preceding month, and any RECs deposited in Buyer’s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14:paraId="306A24D5" w14:textId="77777777" w:rsidR="008D7468" w:rsidRDefault="006A04CB">
      <w:pPr>
        <w:pStyle w:val="Legal23"/>
      </w:pPr>
      <w:r>
        <w:rPr>
          <w:u w:val="single"/>
        </w:rPr>
        <w:t>Timeliness of Payment</w:t>
      </w:r>
      <w:r>
        <w:t>.  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14:paraId="7313C309" w14:textId="77777777" w:rsidR="008D7468" w:rsidRDefault="006A04CB">
      <w:pPr>
        <w:pStyle w:val="Legal23"/>
        <w:keepNext/>
      </w:pPr>
      <w:r>
        <w:rPr>
          <w:u w:val="single"/>
        </w:rPr>
        <w:t>Disputes and Adjustments of Invoices</w:t>
      </w:r>
      <w:r>
        <w:t>.</w:t>
      </w:r>
    </w:p>
    <w:p w14:paraId="582E314B" w14:textId="77777777" w:rsidR="008D7468" w:rsidRDefault="006A04CB">
      <w:pPr>
        <w:pStyle w:val="Legal24"/>
      </w:pPr>
      <w:r>
        <w:t>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or amounts due pursuant to this Section shall be invoiced or paid as provided in this Section 5.2.</w:t>
      </w:r>
    </w:p>
    <w:p w14:paraId="7F26025A" w14:textId="77777777" w:rsidR="008D7468" w:rsidRDefault="006A04CB">
      <w:pPr>
        <w:pStyle w:val="Legal24"/>
      </w:pPr>
      <w:r>
        <w:t xml:space="preserve">Within twelve (12) months of the issuance of an invoice the Seller shall adjust any invoice for any arithmetic or computational error and shall provide documentation and information supporting such </w:t>
      </w:r>
      <w:r>
        <w:lastRenderedPageBreak/>
        <w:t>adjustment to Buyer.  Within twelve (12) months of the receipt of an invoice (or an adjusted invoice), the Buyer may dispute any charges on that invoice.  In the event of such a dispute, the Buyer shall give notice to the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the Seller issues an adjusted invoice within twelve (12) months of issuance of the original invoice.  Any dispute of charges is waived unless the Buyer provides notice of the dispute to the Seller within twelve (12) months of receipt of the invoice (or adjusted invoice) including such charges.</w:t>
      </w:r>
    </w:p>
    <w:p w14:paraId="70353D6A" w14:textId="77777777" w:rsidR="008D7468" w:rsidRDefault="006A04CB">
      <w:pPr>
        <w:pStyle w:val="Legal23"/>
      </w:pPr>
      <w:r>
        <w:rPr>
          <w:u w:val="single"/>
        </w:rPr>
        <w:t>Netting of Payments</w:t>
      </w:r>
      <w:r>
        <w:t>.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during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14:paraId="4581FC20" w14:textId="77777777" w:rsidR="008D7468" w:rsidRDefault="006A04CB">
      <w:pPr>
        <w:pStyle w:val="Legal22"/>
      </w:pPr>
      <w:bookmarkStart w:id="25" w:name="_Toc177887396"/>
      <w:r>
        <w:rPr>
          <w:u w:val="single"/>
        </w:rPr>
        <w:t>Interest on Late Payment or Refund</w:t>
      </w:r>
      <w:r>
        <w:t xml:space="preserve">.  A late payment charge shall accrue on any late payment or refund as specified above at the lesser of (a) the prime rate specified in the “Money &amp; Investing” section of </w:t>
      </w:r>
      <w:r>
        <w:rPr>
          <w:u w:val="single"/>
        </w:rPr>
        <w:t>The Wall Street Journal</w:t>
      </w:r>
      <w:r>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Pr>
          <w:b/>
          <w:u w:val="single"/>
        </w:rPr>
        <w:t>Late Payment Rate</w:t>
      </w:r>
      <w:r>
        <w:t>”).</w:t>
      </w:r>
      <w:bookmarkEnd w:id="25"/>
    </w:p>
    <w:p w14:paraId="26B231C4" w14:textId="77777777" w:rsidR="008D7468" w:rsidRDefault="006A04CB">
      <w:pPr>
        <w:pStyle w:val="Legal22"/>
        <w:keepNext/>
      </w:pPr>
      <w:bookmarkStart w:id="26" w:name="_Toc177887397"/>
      <w:r>
        <w:rPr>
          <w:u w:val="single"/>
        </w:rPr>
        <w:t>Taxes, Fees and Levies</w:t>
      </w:r>
      <w:r>
        <w:t>.</w:t>
      </w:r>
      <w:bookmarkEnd w:id="26"/>
    </w:p>
    <w:p w14:paraId="1D2BF363" w14:textId="77777777" w:rsidR="008D7468" w:rsidRDefault="006A04CB">
      <w:pPr>
        <w:pStyle w:val="Legal23"/>
      </w:pPr>
      <w:r>
        <w:t>Seller shall be obligated to pay all present and future taxes, fees and levies, imposed on or associated with the Facility or delivery or sale of the Products (“</w:t>
      </w:r>
      <w:r>
        <w:rPr>
          <w:b/>
          <w:u w:val="single"/>
        </w:rPr>
        <w:t>Seller’s Taxes</w:t>
      </w:r>
      <w: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Pr>
          <w:b/>
          <w:u w:val="single"/>
        </w:rPr>
        <w:t>Buyer’s Taxes</w:t>
      </w:r>
      <w:r>
        <w:t xml:space="preserve">”).  In the event Seller shall be required by law or regulation to remit or pay any Buyer’s Taxes, Buyer shall reimburse Seller for such payment.  In the event Buyer shall be required by law or regulation to remit or pay any Seller’s Taxes, Seller shall reimburse Buyer for such payment, and Buyer may also elect to deduct any of the amount of any such Seller’s </w:t>
      </w:r>
      <w:r>
        <w:lastRenderedPageBreak/>
        <w:t>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14:paraId="3A24E5DF" w14:textId="77777777" w:rsidR="008D7468" w:rsidRDefault="006A04CB">
      <w:pPr>
        <w:pStyle w:val="Legal23"/>
      </w:pPr>
      <w:r>
        <w:t>Seller shall bear all risks, financial and otherwise, throughout the Term, associated with Seller’s or the Facility’s eligibility to receive any federal or state tax credits, to qualify for accelerated depreciation for Seller’s accounting, reporting or tax purposes, or to receive any other favorable tax or accounting right or benefit, or any grant or subsidy from a Governmental Entity or other Person.  Seller’s obligations under this Agreement shall be effective regardless of whether the Facility is eligible for or receives, or the transactions contemplated under this Agreement are eligible for or receives, any federal or state tax credits, grants or other subsidies or any particular accounting, reporting or tax treatment.</w:t>
      </w:r>
    </w:p>
    <w:p w14:paraId="34936BBD" w14:textId="77777777" w:rsidR="008D7468" w:rsidRDefault="006A04CB">
      <w:pPr>
        <w:pStyle w:val="Legal21"/>
        <w:numPr>
          <w:ilvl w:val="0"/>
          <w:numId w:val="4"/>
        </w:numPr>
      </w:pPr>
      <w:bookmarkStart w:id="27" w:name="_Toc177887398"/>
      <w:r>
        <w:t>SECURITY FOR PERFORMANCE</w:t>
      </w:r>
      <w:bookmarkEnd w:id="27"/>
      <w:r>
        <w:t xml:space="preserve"> </w:t>
      </w:r>
    </w:p>
    <w:p w14:paraId="1698EF54" w14:textId="77777777" w:rsidR="008D7468" w:rsidRDefault="006A04CB">
      <w:pPr>
        <w:pStyle w:val="Legal22"/>
      </w:pPr>
      <w:bookmarkStart w:id="28" w:name="_Toc177887399"/>
      <w:r>
        <w:rPr>
          <w:u w:val="single"/>
        </w:rPr>
        <w:t>Grant of Security Interest</w:t>
      </w:r>
      <w:r>
        <w:t>.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Pr>
          <w:b/>
          <w:u w:val="single"/>
        </w:rPr>
        <w:t>Obligations</w:t>
      </w:r>
      <w:r>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bookmarkEnd w:id="28"/>
    </w:p>
    <w:p w14:paraId="04222FCD" w14:textId="77777777" w:rsidR="008D7468" w:rsidRDefault="006A04CB">
      <w:pPr>
        <w:pStyle w:val="Legal22"/>
        <w:keepNext/>
      </w:pPr>
      <w:bookmarkStart w:id="29" w:name="_Toc177887400"/>
      <w:r>
        <w:rPr>
          <w:u w:val="single"/>
        </w:rPr>
        <w:t>Seller’s Support</w:t>
      </w:r>
      <w:r>
        <w:t>.</w:t>
      </w:r>
      <w:bookmarkEnd w:id="29"/>
    </w:p>
    <w:p w14:paraId="2E908D7C" w14:textId="61D7DDFB" w:rsidR="008D7468" w:rsidRDefault="006A04CB">
      <w:pPr>
        <w:pStyle w:val="Legal23"/>
      </w:pPr>
      <w:r>
        <w:t>Seller shall be required to post Credit Support with a Value of $[______________] [$</w:t>
      </w:r>
      <w:r w:rsidR="002173DD">
        <w:t>3</w:t>
      </w:r>
      <w:r>
        <w:t>0,000.00 per MWh per hour of Contract Maximum Amount</w:t>
      </w:r>
      <w:r w:rsidR="0093489F">
        <w:t>; provided, however, that Rhode Island Energy may increase the required level of Development Period Security to $40,000 multiplied by the Contract Maximum Amount for any Bidder, if Rhode Island Energy determines that such Bidder and/or its affiliates have a history of failing to achieve commercial operations for similar projects, and/or power purchase agreements that terminate or expire prior to commercial operation of the applicable project, and such failure(s) or termination(s) have not resulted from factors outside of the control of such Bidder and/or its affiliates.</w:t>
      </w:r>
      <w:r>
        <w:t xml:space="preserve"> ], as adjusted in accordance with Section 3.1(c), to secure Seller’s Obligations until the Commercial Operation Date (“</w:t>
      </w:r>
      <w:r>
        <w:rPr>
          <w:b/>
          <w:u w:val="single"/>
        </w:rPr>
        <w:t>Development Period Security</w:t>
      </w:r>
      <w:r>
        <w:t>”).  Fifty percent (50%) of the Development Period Security shall be provided to Buyer on the Effective Date, and the remaining fifty percent (50%) of the Development Period Security shall be provided to Buyer within fifteen (15) days after the receipt of the Regulatory Approval.  Buyer shall return any undrawn amount of the Development Period Security to Seller within thirty (30) days after the later of (x) Buyer’s receipt of an undisputed notice from Seller that the Commercial Operation Date has occurred or (y) Buyer’s receipt of the full amount of the Operating Period Security.</w:t>
      </w:r>
    </w:p>
    <w:p w14:paraId="7A90A8DB" w14:textId="316BCD70" w:rsidR="008D7468" w:rsidRDefault="006A04CB">
      <w:pPr>
        <w:pStyle w:val="Legal23"/>
      </w:pPr>
      <w:r>
        <w:t xml:space="preserve">Beginning not later than three (3) days following the Commercial Operation Date, Seller shall provide Buyer with Credit Support to secure Seller’s Obligations </w:t>
      </w:r>
      <w:r>
        <w:lastRenderedPageBreak/>
        <w:t>after the Commercial Operation Date through and including the date that all of Seller’s Obligations are satisfied (“</w:t>
      </w:r>
      <w:r>
        <w:rPr>
          <w:b/>
          <w:u w:val="single"/>
        </w:rPr>
        <w:t>Operating Period Security</w:t>
      </w:r>
      <w:r>
        <w:t>”).  The Operating Period Security shall have a Value of $[_______] [$</w:t>
      </w:r>
      <w:r w:rsidR="002173DD">
        <w:t>1</w:t>
      </w:r>
      <w:r>
        <w:t>0,000.00 per MWh per hour of Contract Maximum Amount], as adjusted in accordance with Section 3.3(b).</w:t>
      </w:r>
    </w:p>
    <w:p w14:paraId="1AAADF75" w14:textId="77777777" w:rsidR="008D7468" w:rsidRDefault="006A04CB">
      <w:pPr>
        <w:pStyle w:val="Legal23"/>
      </w:pPr>
      <w:r>
        <w:t>The Credit Support Delivery Amount, as defined below, will be rounded up, and the Return Amount, as defined below, will be rounded down, in each case to the nearest integral multiple of $10,000 (“</w:t>
      </w:r>
      <w:r>
        <w:rPr>
          <w:b/>
          <w:u w:val="single"/>
        </w:rPr>
        <w:t>Rounding Amount</w:t>
      </w:r>
      <w:r>
        <w:t>”).</w:t>
      </w:r>
    </w:p>
    <w:p w14:paraId="284B55C2" w14:textId="77777777" w:rsidR="008D7468" w:rsidRDefault="006A04CB">
      <w:pPr>
        <w:pStyle w:val="Legal23"/>
      </w:pPr>
      <w:r>
        <w:t>The following items will qualify as “</w:t>
      </w:r>
      <w:r>
        <w:rPr>
          <w:b/>
          <w:u w:val="single"/>
        </w:rPr>
        <w:t>Credit Support</w:t>
      </w:r>
      <w:r>
        <w:t>” hereunder in the amount noted under “Valuation Percentage”: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8"/>
        <w:gridCol w:w="4050"/>
      </w:tblGrid>
      <w:tr w:rsidR="008D7468" w14:paraId="0059CC39" w14:textId="77777777">
        <w:tc>
          <w:tcPr>
            <w:tcW w:w="5058" w:type="dxa"/>
          </w:tcPr>
          <w:p w14:paraId="6D25CD8A" w14:textId="77777777" w:rsidR="008D7468" w:rsidRDefault="008D7468"/>
        </w:tc>
        <w:tc>
          <w:tcPr>
            <w:tcW w:w="4050" w:type="dxa"/>
          </w:tcPr>
          <w:p w14:paraId="5E4B0DB5" w14:textId="77777777" w:rsidR="008D7468" w:rsidRDefault="006A04CB">
            <w:pPr>
              <w:jc w:val="center"/>
            </w:pPr>
            <w:r>
              <w:t>“</w:t>
            </w:r>
            <w:r>
              <w:rPr>
                <w:b/>
                <w:u w:val="single"/>
              </w:rPr>
              <w:t>Valuation Percentage</w:t>
            </w:r>
            <w:r>
              <w:t>”</w:t>
            </w:r>
          </w:p>
        </w:tc>
      </w:tr>
      <w:tr w:rsidR="008D7468" w14:paraId="26AFAC49" w14:textId="77777777">
        <w:tc>
          <w:tcPr>
            <w:tcW w:w="5058" w:type="dxa"/>
          </w:tcPr>
          <w:p w14:paraId="0FFC56AA" w14:textId="77777777" w:rsidR="008D7468" w:rsidRDefault="006A04CB">
            <w:pPr>
              <w:pStyle w:val="Legal25"/>
              <w:ind w:left="2160"/>
            </w:pPr>
            <w:r>
              <w:t>Cash</w:t>
            </w:r>
          </w:p>
        </w:tc>
        <w:tc>
          <w:tcPr>
            <w:tcW w:w="4050" w:type="dxa"/>
          </w:tcPr>
          <w:p w14:paraId="5E9574D3" w14:textId="77777777" w:rsidR="008D7468" w:rsidRDefault="006A04CB">
            <w:r>
              <w:t>100%</w:t>
            </w:r>
          </w:p>
        </w:tc>
      </w:tr>
      <w:tr w:rsidR="008D7468" w14:paraId="605C5B44" w14:textId="77777777">
        <w:tc>
          <w:tcPr>
            <w:tcW w:w="5058" w:type="dxa"/>
          </w:tcPr>
          <w:p w14:paraId="3C712C36" w14:textId="77777777" w:rsidR="008D7468" w:rsidRDefault="006A04CB">
            <w:pPr>
              <w:pStyle w:val="Legal25"/>
              <w:ind w:left="2160"/>
            </w:pPr>
            <w:r>
              <w:t>Letters of Credit</w:t>
            </w:r>
          </w:p>
        </w:tc>
        <w:tc>
          <w:tcPr>
            <w:tcW w:w="4050" w:type="dxa"/>
          </w:tcPr>
          <w:p w14:paraId="5CB9D63A" w14:textId="77777777" w:rsidR="008D7468" w:rsidRDefault="006A04CB">
            <w:r>
              <w:t>100% unless either (i) a Letter of Credit Default shall have occurred and be continuing with respect to such Letter of Credit, or (ii) twenty (20) or fewer Business Days remain prior to the expiration of such Letter of Credit, in which cases the Valuation Percentage shall be 0%.</w:t>
            </w:r>
          </w:p>
        </w:tc>
      </w:tr>
    </w:tbl>
    <w:p w14:paraId="522624A1" w14:textId="77777777" w:rsidR="008D7468" w:rsidRDefault="006A04CB">
      <w:pPr>
        <w:pStyle w:val="Legal23"/>
      </w:pPr>
      <w:r>
        <w:t>All calculations with respect to Credit Support shall be made by the Valuation Agent as of the Valuation Time on the Valuation Date.</w:t>
      </w:r>
    </w:p>
    <w:p w14:paraId="1C582808" w14:textId="77777777" w:rsidR="008D7468" w:rsidRDefault="006A04CB">
      <w:pPr>
        <w:pStyle w:val="Legal22"/>
        <w:keepNext/>
      </w:pPr>
      <w:bookmarkStart w:id="30" w:name="_Toc177887401"/>
      <w:r>
        <w:rPr>
          <w:u w:val="single"/>
        </w:rPr>
        <w:t>Delivery of Credit Support</w:t>
      </w:r>
      <w:r>
        <w:t>.</w:t>
      </w:r>
      <w:bookmarkEnd w:id="30"/>
    </w:p>
    <w:p w14:paraId="7D0471D3" w14:textId="77777777" w:rsidR="008D7468" w:rsidRDefault="006A04CB">
      <w:pPr>
        <w:pStyle w:val="BFirstInd"/>
      </w:pPr>
      <w:r>
        <w:t>On any Business Day during the Services Term on which (a) no Event of Default has occurred and is continuing with respect to Buyer, and (b) no termination date has occurred or has been designated as a result of an Event of Default with respect to Buyer for which there exist any unsatisfied payment obligations with respect to Buyer, then Buyer may request, by written notice, that Seller Transfer to Buyer, or cause to be Transferred to Buyer, Credit Support for the benefit of Buyer, having a Value of at least the Collateral Requirement (“</w:t>
      </w:r>
      <w:r>
        <w:rPr>
          <w:b/>
          <w:u w:val="single"/>
        </w:rPr>
        <w:t>Credit Support Delivery Amount</w:t>
      </w:r>
      <w:r>
        <w:t>”).  Such Credit Support shall be delivered to Buyer on the next Business Day if the request is received by the Notification Time; otherwise Credit Support is due by the close of business on the second Business Day after the request is received.</w:t>
      </w:r>
    </w:p>
    <w:p w14:paraId="2E8FB153" w14:textId="77777777" w:rsidR="008D7468" w:rsidRDefault="006A04CB">
      <w:pPr>
        <w:pStyle w:val="Legal22"/>
        <w:keepNext/>
      </w:pPr>
      <w:bookmarkStart w:id="31" w:name="_Toc177887402"/>
      <w:r>
        <w:rPr>
          <w:u w:val="single"/>
        </w:rPr>
        <w:t>Reduction and Substitution of Posted Collateral</w:t>
      </w:r>
      <w:r>
        <w:t>.</w:t>
      </w:r>
      <w:bookmarkEnd w:id="31"/>
    </w:p>
    <w:p w14:paraId="599298CA" w14:textId="77777777" w:rsidR="008D7468" w:rsidRDefault="006A04CB">
      <w:pPr>
        <w:pStyle w:val="BFirstInd"/>
      </w:pPr>
      <w:r>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Pr>
          <w:b/>
          <w:u w:val="single"/>
        </w:rPr>
        <w:t>Credit Support Return Amount</w:t>
      </w:r>
      <w:r>
        <w:t xml:space="preserve">”) and Buyer shall be obligated to do so.  Such Posted Collateral shall be returned to </w:t>
      </w:r>
      <w:r>
        <w:lastRenderedPageBreak/>
        <w:t>Seller by the close of business on the second Business Day after Buyer’s receipt of such request.  The Parties agree that if Seller has posted more than one type of Credit Support to Buyer, Seller can, in its sole discretion, select the type of Credit Support for Buyer to return; provided, however, that Buyer shall not be required to return the specified Credit Support if immediately after such return, Seller would be required to post additional Credit Support pursuant to the calculation of Operating Period Security.</w:t>
      </w:r>
    </w:p>
    <w:p w14:paraId="67FC5CD7" w14:textId="77777777" w:rsidR="008D7468" w:rsidRDefault="006A04CB">
      <w:pPr>
        <w:pStyle w:val="Legal22"/>
        <w:keepNext/>
      </w:pPr>
      <w:bookmarkStart w:id="32" w:name="_Toc177887403"/>
      <w:r>
        <w:rPr>
          <w:u w:val="single"/>
        </w:rPr>
        <w:t>Administration of Posted Collateral</w:t>
      </w:r>
      <w:r>
        <w:t>.</w:t>
      </w:r>
      <w:bookmarkEnd w:id="32"/>
    </w:p>
    <w:p w14:paraId="57828DAE" w14:textId="77777777" w:rsidR="008D7468" w:rsidRDefault="006A04CB">
      <w:pPr>
        <w:pStyle w:val="Legal23"/>
      </w:pPr>
      <w:r>
        <w:rPr>
          <w:u w:val="single"/>
        </w:rPr>
        <w:t>Cash</w:t>
      </w:r>
      <w:r>
        <w:t>.  Posted Collateral provided in the form of Cash to Buyer hereunder shall be subject to the following provisions.</w:t>
      </w:r>
    </w:p>
    <w:p w14:paraId="4682236D" w14:textId="77777777" w:rsidR="008D7468" w:rsidRDefault="006A04CB">
      <w:pPr>
        <w:pStyle w:val="Legal24"/>
      </w:pPr>
      <w:r>
        <w:tab/>
        <w:t>So long as no Event of Default has occurred and is continuing with respect to Buyer, Buyer will be entitled to either hold Cash or to appoint an agent which is a Qualified Institution (a “</w:t>
      </w:r>
      <w:r>
        <w:rPr>
          <w:b/>
          <w:u w:val="single"/>
        </w:rPr>
        <w:t>Custodian</w:t>
      </w:r>
      <w:r>
        <w:t>”) to hold Cash for Buyer.  In the event that an Event of Default has occurred and is continuing with respect to Buyer, then the provisions of Section 6.5(a)(ii) shall not apply with respect to Buyer and Cash shall be held in a Qualified Institution in accordance with the provisions of Section 6.5(a)(iii)(B).  Upon notice by Buyer to Seller of the appointment of a Custodian, Seller’s Obligations to make any Transfer will be discharged by making the Transfer to that Custodian.  The holding of Cash by a Custodian will be deemed to be the holding of Cash by Buyer for which the Custodian is acting.  If Buyer or its Custodian fails to satisfy any conditions for holding Cash as set forth above, or if Buyer is not entitled to hold Cash at any time, then Buyer will Transfer, or cause its Custodian to Transfer, the Cash to a Qualified Institution and the Cash shall be maintained in accordance with Section 6.5(a)(iii)(B).  Except as set forth in Section 6.5(c), Buyer will be liable for the acts or omissions of the Custodian to the same extent that Buyer would be held liable for its own acts or omissions.</w:t>
      </w:r>
    </w:p>
    <w:p w14:paraId="0995F6ED" w14:textId="77777777" w:rsidR="008D7468" w:rsidRDefault="006A04CB">
      <w:pPr>
        <w:pStyle w:val="Legal24"/>
      </w:pPr>
      <w:r>
        <w:tab/>
        <w:t>Notwithstanding the provisions of applicable Law, if no Event of Default has occurred and is continuing with respect to Buyer and no termination date has occurred or been designated as a result of an Event of Default with respect to Buyer for which there exists any unsatisfied payment obligations with respect to Buyer, then Buyer shall have the right to sell, pledge, rehypothecate, assign, invest, use, comingle or otherwise use in its business any Cash that it holds as Posted Collateral hereunder, free from any claim or right of any nature whatsoever of Seller, including any equity or right of redemption by Seller.</w:t>
      </w:r>
    </w:p>
    <w:p w14:paraId="592E8BE8" w14:textId="77777777" w:rsidR="008D7468" w:rsidRDefault="006A04CB">
      <w:pPr>
        <w:pStyle w:val="Legal24"/>
      </w:pPr>
      <w:r>
        <w:lastRenderedPageBreak/>
        <w:tab/>
        <w:t>Notwithstanding Section 6.5(a)(ii), if neither Buyer nor the Custodian is eligible to hold Cash pursuant to Section 6.5(a)(i) then:</w:t>
      </w:r>
    </w:p>
    <w:p w14:paraId="69BA2AC1" w14:textId="77777777" w:rsidR="008D7468" w:rsidRDefault="006A04CB">
      <w:pPr>
        <w:pStyle w:val="Legal25"/>
      </w:pPr>
      <w:r>
        <w:t>the provisions of Section 6.5(a)(ii) will not apply with respect to Buyer; and</w:t>
      </w:r>
    </w:p>
    <w:p w14:paraId="26072866" w14:textId="77777777" w:rsidR="008D7468" w:rsidRDefault="006A04CB">
      <w:pPr>
        <w:pStyle w:val="Legal25"/>
      </w:pPr>
      <w:r>
        <w:t>Buyer shall be required to Transfer (or cause to be Transferred) not later than the close of business within five (5) Business Days following the beginning of such ineligibility all Cash in its possession or held on its behalf to a Qualified Institution to be held in a segregated, safekeeping or custody account (the “</w:t>
      </w:r>
      <w:r>
        <w:rPr>
          <w:b/>
          <w:u w:val="single"/>
        </w:rPr>
        <w:t>Collateral Account</w:t>
      </w:r>
      <w:r>
        <w:t>”) within such Qualified Institution with the title of the account indicating that the property contained therein is being held as Cash for Buyer.  The Qualified Institution shall serve as Custodian with respect to the Cash in the Collateral Account, and shall hold such Cash in accordance with the terms of this Article 6 and for the security interest of Buyer and execute such account control agreements as are necessary or applicable to perfect the security interest of Seller therein pursuant to Section 9-314 of the Uniform Commercial Code or otherwise, and subject to such security interest, for the ownership and benefit of Seller.  The Qualified Institution holding the Cash will invest and reinvest or procure the investment and reinvestment of the Cash in accordance with the written instructions of Buyer, subject to the approval of such instructions by Seller (which approval shall not be unreasonably withheld).  Buyer shall have no responsibility for any losses resulting from any investment or reinvestment effected in accordance with Seller’s approval.</w:t>
      </w:r>
    </w:p>
    <w:p w14:paraId="7BA59550" w14:textId="77777777" w:rsidR="008D7468" w:rsidRDefault="006A04CB">
      <w:pPr>
        <w:pStyle w:val="Legal24"/>
      </w:pPr>
      <w:r>
        <w:tab/>
        <w:t xml:space="preserve">So long as no Event of Default with respect to Seller has occurred and is continuing, and no termination date has occurred or been designated for which any unsatisfied payment obligations of Seller exist as the result of an Event of Default with respect to Seller, in the event that Buyer or its Custodian is holding Cash, Buyer will Transfer (or cause to be Transferred) to Seller, in lieu of any interest or other amounts paid or deemed to have been paid with respect to such Cash (all of which shall be retained by Buyer), the Interest Amount.  Interest on Cash shall accrue at the Collateral Interest Rate.  Interest accrued during the previous month shall be paid by Buyer to Seller on the 3rd Business Day of each calendar month and on any Business Day that posted Credit Support in the form of Cash is returned to Seller, but solely to the extent that, after making such payment, the amount of the Posted Collateral </w:t>
      </w:r>
      <w:r>
        <w:lastRenderedPageBreak/>
        <w:t>will be at least equal to the required Development Period Security or Operating Period Security, as applicable.  On or after the occurrence of an Event of Default with respect to Seller or a termination date as a result of an Event of Default with respect to Seller, Buyer or its Custodian shall retain any such Interest Amount as additional Posted Collateral hereunder until the Obligations of Seller under the Agreement have been satisfied in the case of a termination date or for so long as such Event of Default is continuing in the case of an Event of Default.</w:t>
      </w:r>
    </w:p>
    <w:p w14:paraId="1A5E0A1D" w14:textId="77777777" w:rsidR="008D7468" w:rsidRDefault="006A04CB">
      <w:pPr>
        <w:pStyle w:val="Legal23"/>
      </w:pPr>
      <w:r>
        <w:rPr>
          <w:u w:val="single"/>
        </w:rPr>
        <w:t>Buyer’s Rights and Remedies</w:t>
      </w:r>
      <w:r>
        <w:t>.  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liquidate any Posted Collateral held by Buyer and to apply the proceeds of such liquidation of the Posted Collateral to any amounts payable to Buyer with respect to the Obligations in such order as Buyer may elect.  For purposes of this Section 6.5, Buyer may draw on the undrawn portion of any Letter of Credit from time to time up to the amount of the Obligations that are due at the time of such drawing.  Cash proceeds that are not applied to the Obligations shall be maintained in accordance with the terms of this Article 6.  Seller shall remain liable for amounts due and owing to Buyer that remain unpaid after the application of Posted Collateral, pursuant to this Section 6.5.</w:t>
      </w:r>
    </w:p>
    <w:p w14:paraId="24B6AB51" w14:textId="77777777" w:rsidR="008D7468" w:rsidRDefault="006A04CB">
      <w:pPr>
        <w:pStyle w:val="Legal23"/>
      </w:pPr>
      <w:r>
        <w:rPr>
          <w:u w:val="single"/>
        </w:rPr>
        <w:t>Letters of Credit</w:t>
      </w:r>
      <w:r>
        <w:t>.  Credit Support provided in the form of a Letter of Credit shall be subject to the following provisions.</w:t>
      </w:r>
    </w:p>
    <w:p w14:paraId="0ED6FF6C" w14:textId="77777777" w:rsidR="008D7468" w:rsidRDefault="006A04CB">
      <w:pPr>
        <w:pStyle w:val="Legal24"/>
      </w:pPr>
      <w:r>
        <w:tab/>
        <w:t>As one method of providing increased Credit Support, Seller may increase the amount of an outstanding Letter of Credit or establish one or more additional Letters of Credit.</w:t>
      </w:r>
    </w:p>
    <w:p w14:paraId="6911802A" w14:textId="77777777" w:rsidR="008D7468" w:rsidRDefault="006A04CB">
      <w:pPr>
        <w:pStyle w:val="Legal24"/>
      </w:pPr>
      <w:r>
        <w:tab/>
        <w:t>Upon the occurrence of a Letter of Credit Default, Seller agrees to Transfer to Buyer either a substitute Letter of Credit or Cash, in each case on or before the first (1st) Business Day after the occurrence thereof (or the third (3rd) Business Day after the occurrence thereof if only clause (a) under the definition of Letter of Credit Default applies).</w:t>
      </w:r>
    </w:p>
    <w:p w14:paraId="5F6EB25C" w14:textId="77777777" w:rsidR="008D7468" w:rsidRDefault="006A04CB">
      <w:pPr>
        <w:pStyle w:val="Legal24"/>
      </w:pPr>
      <w:r>
        <w:tab/>
        <w:t xml:space="preserve">Notwithstanding Sections 6.3 and 6.4, (1) Buyer need not return a Letter of Credit unless the entire principal amount is required to be returned, (2) Buyer shall consent to a reduction of the principal amount of a Letter of Credit to the extent that a Credit Support Delivery Amount would not be created thereby (as of the time of the request or as of the last time the Credit Support Delivery Amount was determined), and (3) if there is more than </w:t>
      </w:r>
      <w:r>
        <w:lastRenderedPageBreak/>
        <w:t>one form of Posted Collateral when a Credit Support Return Amount is to be Transferred, the Secured Party may elect which to Transfer.</w:t>
      </w:r>
    </w:p>
    <w:p w14:paraId="34BD4ADD" w14:textId="77777777" w:rsidR="008D7468" w:rsidRDefault="006A04CB">
      <w:pPr>
        <w:pStyle w:val="Legal23"/>
      </w:pPr>
      <w:r>
        <w:rPr>
          <w:u w:val="single"/>
        </w:rPr>
        <w:t>Care of Posted Collateral</w:t>
      </w:r>
      <w:r>
        <w:t>.  Buyer shall exercise reasonable care to assure the safe custody of all Posted Collateral to the extent required by applicable Law, and in any event Buyer will be deemed to have exercised reasonable care if it exercises at least the same degree of care as it would exercise with respect to its own property.  Except as specified in the preceding sentence, Buyer will have no duty with respect to the Posted Collateral, including without limitation, any duty to enforce or preserve any rights thereto.</w:t>
      </w:r>
    </w:p>
    <w:p w14:paraId="5CEDD926" w14:textId="0FB500B5" w:rsidR="008D7468" w:rsidRDefault="006A04CB">
      <w:pPr>
        <w:pStyle w:val="Legal23"/>
      </w:pPr>
      <w:r>
        <w:rPr>
          <w:u w:val="single"/>
        </w:rPr>
        <w:t>Substitutions</w:t>
      </w:r>
      <w:r>
        <w:t>.  Unless otherwise prohibited herein, upon notice to Buyer specifying the items of Posted Collateral to be exchanged, Seller may, on any Business Day, deliver to Buyer other Credit Support (“</w:t>
      </w:r>
      <w:r>
        <w:rPr>
          <w:b/>
          <w:u w:val="single"/>
        </w:rPr>
        <w:t>Substitute Credit Support</w:t>
      </w:r>
      <w:r>
        <w:t xml:space="preserve">”).  </w:t>
      </w:r>
      <w:r w:rsidR="00DB1EAE">
        <w:t>Within five (5)</w:t>
      </w:r>
      <w:r>
        <w:t xml:space="preserve"> Business Day</w:t>
      </w:r>
      <w:r w:rsidR="00DB1EAE">
        <w:t>s</w:t>
      </w:r>
      <w:r>
        <w:t xml:space="preserve"> following the day on which the Substitute Credit Support is delivered to Buyer, Buyer shall return to Seller the items of Credit Support specified in Seller’s notice; provided, however, that 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w:t>
      </w:r>
    </w:p>
    <w:p w14:paraId="2BB070FB" w14:textId="77777777" w:rsidR="008D7468" w:rsidRDefault="006A04CB">
      <w:pPr>
        <w:pStyle w:val="Legal22"/>
        <w:keepNext/>
        <w:rPr>
          <w:u w:val="single"/>
        </w:rPr>
      </w:pPr>
      <w:bookmarkStart w:id="33" w:name="_Toc177887404"/>
      <w:r>
        <w:rPr>
          <w:u w:val="single"/>
        </w:rPr>
        <w:t>Exercise of Rights Against Posted Collateral</w:t>
      </w:r>
      <w:bookmarkEnd w:id="33"/>
    </w:p>
    <w:p w14:paraId="2AEB0F6C" w14:textId="77777777" w:rsidR="008D7468" w:rsidRDefault="006A04CB">
      <w:pPr>
        <w:pStyle w:val="Legal23"/>
      </w:pPr>
      <w:r>
        <w:rPr>
          <w:u w:val="single"/>
        </w:rPr>
        <w:t>Disputes Regarding Amount of Credit Support</w:t>
      </w:r>
      <w:r>
        <w:t>.  If either Party disputes the amount of Credit Support to be provided or returned (such Party the “</w:t>
      </w:r>
      <w:r>
        <w:rPr>
          <w:b/>
          <w:u w:val="single"/>
        </w:rPr>
        <w:t>Disputing Party</w:t>
      </w:r>
      <w:r>
        <w:t>”), then the Disputing Party shall (a) deliver the undisputed amount of Credit Support to the other Party (such Party, the “</w:t>
      </w:r>
      <w:r>
        <w:rPr>
          <w:b/>
          <w:u w:val="single"/>
        </w:rPr>
        <w:t>Requesting Party</w:t>
      </w:r>
      <w:r>
        <w:t>”) and (b) notify the Requesting Party of the existence and nature of the dispute no later than 5:00 p.m. Eastern Prevailing Time on the Business Day that the request for Credit Support was made (the “</w:t>
      </w:r>
      <w:r>
        <w:rPr>
          <w:b/>
          <w:u w:val="single"/>
        </w:rPr>
        <w:t>Request Date</w:t>
      </w:r>
      <w:r>
        <w:t>”).  On the Business Day following 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w:t>
      </w:r>
    </w:p>
    <w:p w14:paraId="16BB6B98" w14:textId="77777777" w:rsidR="008D7468" w:rsidRDefault="006A04CB">
      <w:pPr>
        <w:pStyle w:val="Legal23"/>
      </w:pPr>
      <w:r>
        <w:rPr>
          <w:u w:val="single"/>
        </w:rPr>
        <w:t>Further Assurances</w:t>
      </w:r>
      <w:r>
        <w:t>.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
    <w:p w14:paraId="2F1B5307" w14:textId="77777777" w:rsidR="008D7468" w:rsidRDefault="006A04CB">
      <w:pPr>
        <w:pStyle w:val="Legal23"/>
      </w:pPr>
      <w:r>
        <w:rPr>
          <w:u w:val="single"/>
        </w:rPr>
        <w:lastRenderedPageBreak/>
        <w:t>Further Protection</w:t>
      </w:r>
      <w:r>
        <w:t>.  Seller will promptly give notice to Buyer of, and defend against, any suit, action, proceeding, or lien (other than a banker’s lien in favor of the Custodian appointed by Buyer so long as no amount owing from Seller to such Custodian is overdue) that involves the Posted Collateral delivered to Buyer by Seller or that could adversely affect any security interest or lien granted pursuant to this Agreement.</w:t>
      </w:r>
    </w:p>
    <w:p w14:paraId="464CFED9" w14:textId="77777777" w:rsidR="008D7468" w:rsidRDefault="006A04CB">
      <w:pPr>
        <w:pStyle w:val="Legal22"/>
      </w:pPr>
      <w:bookmarkStart w:id="34" w:name="_Ref509649716"/>
      <w:bookmarkStart w:id="35" w:name="_Ref509649717"/>
      <w:bookmarkStart w:id="36" w:name="_Ref509649718"/>
      <w:bookmarkStart w:id="37" w:name="_Toc515462139"/>
      <w:bookmarkStart w:id="38" w:name="_Toc177887405"/>
      <w:r>
        <w:rPr>
          <w:u w:val="single"/>
        </w:rPr>
        <w:t>Return of Credit Support</w:t>
      </w:r>
      <w:bookmarkStart w:id="39" w:name="_Toc519726048"/>
      <w:bookmarkEnd w:id="34"/>
      <w:bookmarkEnd w:id="35"/>
      <w:bookmarkEnd w:id="36"/>
      <w:bookmarkEnd w:id="37"/>
      <w:bookmarkEnd w:id="39"/>
      <w:r>
        <w:t>.  Any unused Credit Support provided under this Agreement shall be returned to Seller only after any such Credit Support has been used to satisfy any outstanding obligations of Seller in existence at the time of the expiration or termination of this Agreement.  Provided such obligations have been satisfied, such Credit Support shall be returned to Seller within thirty (30) days after the earlier of (a) the expiration of the Term or (b) termination of this Agreement.</w:t>
      </w:r>
      <w:bookmarkEnd w:id="38"/>
    </w:p>
    <w:p w14:paraId="12D9935E" w14:textId="77777777" w:rsidR="008D7468" w:rsidRDefault="008D7468">
      <w:pPr>
        <w:pStyle w:val="Legal2Cont3"/>
      </w:pPr>
    </w:p>
    <w:p w14:paraId="3FF72A08" w14:textId="77777777" w:rsidR="008D7468" w:rsidRDefault="006A04CB">
      <w:pPr>
        <w:pStyle w:val="Legal21"/>
      </w:pPr>
      <w:bookmarkStart w:id="40" w:name="_Toc177887406"/>
      <w:r>
        <w:t>REPRESENTATIONS, WARRANTIES, COVENANTS AND ACKNOWLEDGEMENTS</w:t>
      </w:r>
      <w:bookmarkEnd w:id="40"/>
    </w:p>
    <w:p w14:paraId="0814472E" w14:textId="77777777" w:rsidR="008D7468" w:rsidRDefault="006A04CB">
      <w:pPr>
        <w:pStyle w:val="Legal22"/>
      </w:pPr>
      <w:bookmarkStart w:id="41" w:name="_Toc177887407"/>
      <w:r>
        <w:rPr>
          <w:u w:val="single"/>
        </w:rPr>
        <w:t>Representations and Warranties of Buyer</w:t>
      </w:r>
      <w:r>
        <w:t>.  Buyer hereby represents and warrants to Seller as follows:</w:t>
      </w:r>
      <w:bookmarkEnd w:id="41"/>
    </w:p>
    <w:p w14:paraId="0CFB7420" w14:textId="77777777" w:rsidR="008D7468" w:rsidRDefault="006A04CB">
      <w:pPr>
        <w:pStyle w:val="Legal23"/>
      </w:pPr>
      <w:r>
        <w:rPr>
          <w:u w:val="single"/>
        </w:rPr>
        <w:t>Organization and Good Standing; Power and Authority</w:t>
      </w:r>
      <w:r>
        <w:t>.  Buyer is a corporation duly incorporated, validly existing and in good standing under the laws of the state of Rhode Island.  Subject to the receipt of the Regulatory Approval, Buyer has all requisite power and authority to execute, deliver, and perform its obligations under this Agreement.</w:t>
      </w:r>
    </w:p>
    <w:p w14:paraId="25A29CE2" w14:textId="77777777" w:rsidR="008D7468" w:rsidRDefault="006A04CB">
      <w:pPr>
        <w:pStyle w:val="Legal23"/>
      </w:pPr>
      <w:r>
        <w:rPr>
          <w:u w:val="single"/>
        </w:rPr>
        <w:t>Due Authorization; No Conflicts</w:t>
      </w:r>
      <w:r>
        <w:t>.  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14:paraId="6A6958D9" w14:textId="77777777" w:rsidR="008D7468" w:rsidRDefault="006A04CB">
      <w:pPr>
        <w:pStyle w:val="Legal23"/>
      </w:pPr>
      <w:r>
        <w:rPr>
          <w:u w:val="single"/>
        </w:rPr>
        <w:t>Binding Agreement</w:t>
      </w:r>
      <w: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14:paraId="6682795C" w14:textId="77777777" w:rsidR="008D7468" w:rsidRDefault="006A04CB">
      <w:pPr>
        <w:pStyle w:val="Legal23"/>
      </w:pPr>
      <w:r>
        <w:rPr>
          <w:u w:val="single"/>
        </w:rPr>
        <w:t>No Proceedings</w:t>
      </w:r>
      <w:r>
        <w:t xml:space="preserve">.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w:t>
      </w:r>
      <w:r>
        <w:lastRenderedPageBreak/>
        <w:t>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
    <w:p w14:paraId="3676BA47" w14:textId="77777777" w:rsidR="008D7468" w:rsidRDefault="006A04CB">
      <w:pPr>
        <w:pStyle w:val="Legal23"/>
      </w:pPr>
      <w:r>
        <w:rPr>
          <w:u w:val="single"/>
        </w:rPr>
        <w:t>Consents and Approvals</w:t>
      </w:r>
      <w:r>
        <w:t>.  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14:paraId="03D5194D" w14:textId="33B8603E" w:rsidR="008D7468" w:rsidRDefault="006A04CB">
      <w:pPr>
        <w:pStyle w:val="Legal23"/>
      </w:pPr>
      <w:r>
        <w:rPr>
          <w:u w:val="single"/>
        </w:rPr>
        <w:t>Negotiations</w:t>
      </w:r>
      <w:r>
        <w:t>.  The terms and provisions of this Agreement are the result of arm’s length and good faith negotiations on the part of Buyer and equal bargaining power of the Parties.  No principle of law or equity regarding construing ambiguities in this Agreement against the drafting Party shall apply.</w:t>
      </w:r>
    </w:p>
    <w:p w14:paraId="21385AD8" w14:textId="77777777" w:rsidR="008D7468" w:rsidRDefault="006A04CB">
      <w:pPr>
        <w:pStyle w:val="Legal23"/>
      </w:pPr>
      <w:r>
        <w:rPr>
          <w:u w:val="single"/>
        </w:rPr>
        <w:t>Bankruptcy</w:t>
      </w:r>
      <w:r>
        <w:t>.  There are no bankruptcy, insolvency, reorganization, receivership or other such proceedings pending against or being contemplated by Buyer, or, to Buyer’s knowledge, threatened against it.</w:t>
      </w:r>
    </w:p>
    <w:p w14:paraId="0A01C8F8" w14:textId="77777777" w:rsidR="008D7468" w:rsidRDefault="006A04CB">
      <w:pPr>
        <w:pStyle w:val="Legal23"/>
      </w:pPr>
      <w:r>
        <w:rPr>
          <w:u w:val="single"/>
        </w:rPr>
        <w:t>No Default</w:t>
      </w:r>
      <w:r>
        <w:t>.  No Default or Event of Default has occurred and is continuing and no Default or Event of Default shall occur as a result of the performance by Buyer of its obligations under this Agreement.</w:t>
      </w:r>
    </w:p>
    <w:p w14:paraId="018783ED" w14:textId="77777777" w:rsidR="008D7468" w:rsidRDefault="006A04CB">
      <w:pPr>
        <w:pStyle w:val="Legal22"/>
      </w:pPr>
      <w:bookmarkStart w:id="42" w:name="_Toc177887408"/>
      <w:r>
        <w:rPr>
          <w:u w:val="single"/>
        </w:rPr>
        <w:t>Representations and Warranties of Seller</w:t>
      </w:r>
      <w:r>
        <w:t>.  Seller hereby represents and warrants to Buyer as of the Effective Date as follows:</w:t>
      </w:r>
      <w:bookmarkEnd w:id="42"/>
    </w:p>
    <w:p w14:paraId="46DCC68E" w14:textId="77777777" w:rsidR="008D7468" w:rsidRDefault="006A04CB">
      <w:pPr>
        <w:pStyle w:val="Legal23"/>
      </w:pPr>
      <w:r>
        <w:rPr>
          <w:u w:val="single"/>
        </w:rPr>
        <w:t>Organization and Good Standing; Power and Authority</w:t>
      </w:r>
      <w: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14:paraId="1EBA1CEA" w14:textId="77777777" w:rsidR="008D7468" w:rsidRDefault="006A04CB">
      <w:pPr>
        <w:pStyle w:val="Legal23"/>
      </w:pPr>
      <w:r>
        <w:rPr>
          <w:u w:val="single"/>
        </w:rPr>
        <w:t>Authority</w:t>
      </w:r>
      <w: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the Buyer in accordance with this Agreement.</w:t>
      </w:r>
    </w:p>
    <w:p w14:paraId="64F40E74" w14:textId="77777777" w:rsidR="008D7468" w:rsidRDefault="006A04CB">
      <w:pPr>
        <w:pStyle w:val="Legal23"/>
      </w:pPr>
      <w:r>
        <w:rPr>
          <w:u w:val="single"/>
        </w:rPr>
        <w:t>Due Authorization; No Conflicts</w:t>
      </w:r>
      <w:r>
        <w:t xml:space="preserve">.  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w:t>
      </w:r>
      <w:r>
        <w:lastRenderedPageBreak/>
        <w:t>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Seller is qualified to perform as a Market Participant 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p>
    <w:p w14:paraId="01DB62FE" w14:textId="77777777" w:rsidR="008D7468" w:rsidRDefault="006A04CB">
      <w:pPr>
        <w:pStyle w:val="Legal23"/>
      </w:pPr>
      <w:r>
        <w:rPr>
          <w:u w:val="single"/>
        </w:rPr>
        <w:t>Binding Agreement</w:t>
      </w:r>
      <w: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14:paraId="58715E7F" w14:textId="77777777" w:rsidR="008D7468" w:rsidRDefault="006A04CB">
      <w:pPr>
        <w:pStyle w:val="Legal23"/>
      </w:pPr>
      <w:r>
        <w:rPr>
          <w:u w:val="single"/>
        </w:rPr>
        <w:t>No Proceedings</w:t>
      </w:r>
      <w: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
    <w:p w14:paraId="10431F22" w14:textId="7730A0B3" w:rsidR="008D7468" w:rsidRDefault="006A04CB">
      <w:pPr>
        <w:pStyle w:val="Legal23"/>
      </w:pPr>
      <w:r>
        <w:rPr>
          <w:u w:val="single"/>
        </w:rPr>
        <w:t>Consents and Approvals</w:t>
      </w:r>
      <w:r>
        <w:t xml:space="preserve">.  Subject to the receipt of the Permits listed on Exhibit B </w:t>
      </w:r>
      <w:r w:rsidR="00674633">
        <w:t>and</w:t>
      </w:r>
      <w:r>
        <w:t xml:space="preserve"> the Related Transmission Approvals </w:t>
      </w:r>
      <w:r w:rsidR="0015199A">
        <w:t xml:space="preserve">in each case </w:t>
      </w:r>
      <w:r>
        <w:t xml:space="preserve">on or prior to </w:t>
      </w:r>
      <w:r w:rsidR="0015199A">
        <w:t xml:space="preserve">any </w:t>
      </w:r>
      <w:r>
        <w:t>date</w:t>
      </w:r>
      <w:r w:rsidR="0015199A">
        <w:t xml:space="preserve"> that may be</w:t>
      </w:r>
      <w:r>
        <w:t xml:space="preserve"> required under Applicable Law, the execution, delivery and performance by Seller of its obligations under this </w:t>
      </w:r>
      <w:r w:rsidRPr="00674633">
        <w:t>Agreement do not</w:t>
      </w:r>
      <w:r>
        <w:t xml:space="preserve">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w:t>
      </w:r>
      <w:r w:rsidR="00674633">
        <w:t xml:space="preserve">this Agreement </w:t>
      </w:r>
      <w:r>
        <w:t>to the extent not previously received.</w:t>
      </w:r>
    </w:p>
    <w:p w14:paraId="7A0E2288" w14:textId="1F91FB79" w:rsidR="008D7468" w:rsidRDefault="006A04CB">
      <w:pPr>
        <w:pStyle w:val="Legal23"/>
      </w:pPr>
      <w:r>
        <w:rPr>
          <w:u w:val="single"/>
        </w:rPr>
        <w:t>Newly Developed Renewable Energy Resource</w:t>
      </w:r>
      <w:r>
        <w:t xml:space="preserve">.  The Facility shall be a Newly Developed Renewable Energy Resource, qualified by the applicable regulatory authority for the state of Rhode Island as eligible to participate in the Renewable Energy Standard program, under R.I.G.L. § 39-26-1 et seq. (subject to Section 4.7(b) in the event of a change in Law affecting such qualification as a Newly Developed Renewable Energy Resource) and shall have a Commercial Operation Date, as verified by the </w:t>
      </w:r>
      <w:r w:rsidRPr="00DA196B">
        <w:t>Buyer</w:t>
      </w:r>
      <w:r>
        <w:t>.</w:t>
      </w:r>
    </w:p>
    <w:p w14:paraId="0B4FAAAE" w14:textId="77777777" w:rsidR="008D7468" w:rsidRDefault="006A04CB">
      <w:pPr>
        <w:pStyle w:val="Legal23"/>
      </w:pPr>
      <w:r>
        <w:rPr>
          <w:u w:val="single"/>
        </w:rPr>
        <w:t>Title to Products</w:t>
      </w:r>
      <w:r>
        <w:t xml:space="preserve">.  Seller has and shall have good and marketable title to all Products sold and Delivered to Buyer under this Agreement, free and clear of all liens, charges and encumbrances.  Seller has not sold and shall not sell any such Products to any other </w:t>
      </w:r>
      <w:r>
        <w:lastRenderedPageBreak/>
        <w:t>Person, and no Person other than Seller can claim an interest in any Product to be sold to Buyer under this Agreement.</w:t>
      </w:r>
    </w:p>
    <w:p w14:paraId="0A537EA6" w14:textId="77777777" w:rsidR="008D7468" w:rsidRDefault="006A04CB">
      <w:pPr>
        <w:pStyle w:val="Legal23"/>
      </w:pPr>
      <w:r>
        <w:rPr>
          <w:u w:val="single"/>
        </w:rPr>
        <w:t>Negotiations</w:t>
      </w:r>
      <w:r>
        <w:t>.  The terms and provisions of this Agreement are the result of arm’s length and good faith negotiations on the part of Seller and equal bargaining power of the Parties.  No principle of law or equity regarding construing ambiguities in this Agreement against the drafting Party shall apply.</w:t>
      </w:r>
    </w:p>
    <w:p w14:paraId="402E6AF0" w14:textId="77777777" w:rsidR="008D7468" w:rsidRDefault="006A04CB">
      <w:pPr>
        <w:pStyle w:val="Legal23"/>
      </w:pPr>
      <w:r>
        <w:rPr>
          <w:u w:val="single"/>
        </w:rPr>
        <w:t>Bankruptcy</w:t>
      </w:r>
      <w:r>
        <w:t>.  There are no bankruptcy, insolvency, reorganization, receivership or other such proceedings pending against or being contemplated by Seller, or, to Seller’s knowledge, threatened against it.</w:t>
      </w:r>
    </w:p>
    <w:p w14:paraId="4FC961B6" w14:textId="77777777" w:rsidR="008D7468" w:rsidRDefault="006A04CB">
      <w:pPr>
        <w:pStyle w:val="Legal23"/>
      </w:pPr>
      <w:r>
        <w:rPr>
          <w:u w:val="single"/>
        </w:rPr>
        <w:t>No Misrepresentations</w:t>
      </w:r>
      <w:r>
        <w:t>.  The reports and other submittals by Seller to Buyer under this Agreement are not false or misleading in any material respect.</w:t>
      </w:r>
    </w:p>
    <w:p w14:paraId="7BB66BDD" w14:textId="77777777" w:rsidR="008D7468" w:rsidRDefault="006A04CB">
      <w:pPr>
        <w:pStyle w:val="Legal23"/>
      </w:pPr>
      <w:r>
        <w:rPr>
          <w:u w:val="single"/>
        </w:rPr>
        <w:t>No Default</w:t>
      </w:r>
      <w:r>
        <w:t>.  No Default or Event of Default has occurred and is continuing and no Default or Event of Default shall occur as a result of the performance by Seller of its obligations under this Agreement.</w:t>
      </w:r>
    </w:p>
    <w:p w14:paraId="2054FAF1" w14:textId="77777777" w:rsidR="008D7468" w:rsidRDefault="006A04CB">
      <w:pPr>
        <w:pStyle w:val="Legal23"/>
      </w:pPr>
      <w:r>
        <w:rPr>
          <w:u w:val="single"/>
        </w:rPr>
        <w:t>Site Control</w:t>
      </w:r>
      <w:r>
        <w:t>.  As of the Effective Date, Seller either (i) has acquired all real property rights to construct and operate the Facility, to interconnect the Facility to the Interconnecting Utility, to construct the Network Upgrades (to the extent it is Seller’s responsibility to do so) and to perform Seller’s obligations under this Agreement or (ii) has an irrevocable option to acquire such real property rights and the only condition upon Seller’s exercise of such option to acquire such real property rights is the payment of an amount that represents the fair market value of such real property rights.</w:t>
      </w:r>
      <w:r>
        <w:rPr>
          <w:rStyle w:val="FootnoteReference"/>
        </w:rPr>
        <w:footnoteReference w:id="3"/>
      </w:r>
      <w:r>
        <w:t xml:space="preserve"> </w:t>
      </w:r>
    </w:p>
    <w:p w14:paraId="772BBA8D" w14:textId="4464E294" w:rsidR="008D7468" w:rsidRDefault="006A04CB">
      <w:pPr>
        <w:pStyle w:val="Legal22"/>
      </w:pPr>
      <w:bookmarkStart w:id="43" w:name="_Toc177887409"/>
      <w:r>
        <w:rPr>
          <w:u w:val="single"/>
        </w:rPr>
        <w:t>Continuing Nature of Representations and Warranties</w:t>
      </w:r>
      <w:r>
        <w:t xml:space="preserve">.  The representations and warranties set forth in this Section are made as of the Effective Date and deemed made continually throughout the Term, </w:t>
      </w:r>
      <w:r w:rsidR="00302A31">
        <w:t xml:space="preserve">provided that </w:t>
      </w:r>
      <w:r w:rsidR="001F389C">
        <w:t xml:space="preserve">if </w:t>
      </w:r>
      <w:r w:rsidR="00302A31">
        <w:t xml:space="preserve">any representations and warranties </w:t>
      </w:r>
      <w:r w:rsidR="00906CDE">
        <w:t xml:space="preserve">are </w:t>
      </w:r>
      <w:r w:rsidR="001F389C">
        <w:t>conditioned upon</w:t>
      </w:r>
      <w:r w:rsidR="00302A31">
        <w:t xml:space="preserve"> the receipt of </w:t>
      </w:r>
      <w:r>
        <w:t>the Regulatory Approval</w:t>
      </w:r>
      <w:r w:rsidR="00302A31">
        <w:t>,</w:t>
      </w:r>
      <w:r>
        <w:t xml:space="preserve"> Permits</w:t>
      </w:r>
      <w:r w:rsidR="00302A31">
        <w:t>,</w:t>
      </w:r>
      <w:r w:rsidR="00302A31" w:rsidRPr="00302A31">
        <w:t xml:space="preserve"> </w:t>
      </w:r>
      <w:r w:rsidR="00302A31">
        <w:t>and/or Related Transmission Approvals</w:t>
      </w:r>
      <w:r w:rsidR="001F389C">
        <w:t>, such conditions</w:t>
      </w:r>
      <w:r>
        <w:t xml:space="preserve"> </w:t>
      </w:r>
      <w:r w:rsidR="00302A31">
        <w:t xml:space="preserve">shall be removed </w:t>
      </w:r>
      <w:r w:rsidR="001F389C">
        <w:t xml:space="preserve">from the applicable representations and warranties </w:t>
      </w:r>
      <w:r>
        <w:t xml:space="preserve">as and when </w:t>
      </w:r>
      <w:r w:rsidR="00302A31">
        <w:t xml:space="preserve">such </w:t>
      </w:r>
      <w:r>
        <w:t>Regulatory Approval</w:t>
      </w:r>
      <w:r w:rsidR="00302A31">
        <w:t>,</w:t>
      </w:r>
      <w:r>
        <w:t xml:space="preserve"> Permits</w:t>
      </w:r>
      <w:r w:rsidR="00302A31">
        <w:t>, and/or Related Transmission Approvals</w:t>
      </w:r>
      <w:r>
        <w:t xml:space="preserve"> are obtained.  If at any time during the Term, a Party has </w:t>
      </w:r>
      <w:r w:rsidRPr="00302A31">
        <w:t>knowledge</w:t>
      </w:r>
      <w:r>
        <w:t xml:space="preserv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bookmarkEnd w:id="43"/>
    </w:p>
    <w:p w14:paraId="63A0AC9B" w14:textId="77777777" w:rsidR="008D7468" w:rsidRDefault="006A04CB">
      <w:pPr>
        <w:pStyle w:val="Legal21"/>
      </w:pPr>
      <w:bookmarkStart w:id="44" w:name="_Toc177887410"/>
      <w:r>
        <w:t>REGULATORY APPROVAL</w:t>
      </w:r>
      <w:bookmarkEnd w:id="44"/>
    </w:p>
    <w:p w14:paraId="260A9A0A" w14:textId="19A59006" w:rsidR="008D7468" w:rsidRDefault="006A04CB">
      <w:pPr>
        <w:pStyle w:val="Legal22"/>
      </w:pPr>
      <w:bookmarkStart w:id="45" w:name="_Toc177887411"/>
      <w:r>
        <w:rPr>
          <w:u w:val="single"/>
        </w:rPr>
        <w:t>Receipt of Regulatory Approval</w:t>
      </w:r>
      <w:r>
        <w:t xml:space="preserve">.  The obligations of the Parties to perform this Agreement, other than the Parties’ obligations under Section 6.1, Section 6.2, and Section 12, are </w:t>
      </w:r>
      <w:r>
        <w:lastRenderedPageBreak/>
        <w:t>conditioned upon and shall not become effective or binding until the receipt of the Regulatory Approval.  Buyer shall notify Seller within five (5) Business Days after receipt of the Regulatory Approval or receipt of an order of the PUC regarding this Agreement.  This Agreement may be terminated by either Buyer or Seller in the event that Regulatory Approval is not received within 270 days after filing, without liability as a result of such termination, subject to the return of Credit Support as provided in Section 6.3.</w:t>
      </w:r>
      <w:bookmarkEnd w:id="45"/>
    </w:p>
    <w:p w14:paraId="7FC44267" w14:textId="52292C2D" w:rsidR="008D7468" w:rsidRDefault="006A04CB">
      <w:pPr>
        <w:pStyle w:val="Legal22"/>
      </w:pPr>
      <w:bookmarkStart w:id="46" w:name="_Toc177887412"/>
      <w:r>
        <w:rPr>
          <w:u w:val="single"/>
        </w:rPr>
        <w:t>Related Transmission Approvals</w:t>
      </w:r>
      <w:r>
        <w:t xml:space="preserve">.  The obligation of the Parties to perform this Agreement is further conditioned upon the receipt of any Related </w:t>
      </w:r>
      <w:r w:rsidRPr="00906CDE">
        <w:t>Transmission</w:t>
      </w:r>
      <w:r>
        <w:t xml:space="preserve"> Approvals on or prior to </w:t>
      </w:r>
      <w:r w:rsidR="00E039B7">
        <w:t xml:space="preserve">any </w:t>
      </w:r>
      <w:r>
        <w:t xml:space="preserve">date such Related Transmission Approvals </w:t>
      </w:r>
      <w:r w:rsidRPr="00E039B7">
        <w:t>are required under Applicable Law</w:t>
      </w:r>
      <w:r>
        <w:t>.</w:t>
      </w:r>
      <w:bookmarkEnd w:id="46"/>
    </w:p>
    <w:p w14:paraId="27346247" w14:textId="77777777" w:rsidR="008D7468" w:rsidRDefault="006A04CB">
      <w:pPr>
        <w:pStyle w:val="Legal21"/>
      </w:pPr>
      <w:bookmarkStart w:id="47" w:name="_Toc177887413"/>
      <w:r>
        <w:t>BREACHES; REMEDIES</w:t>
      </w:r>
      <w:bookmarkEnd w:id="47"/>
    </w:p>
    <w:p w14:paraId="1FAB172F" w14:textId="77777777" w:rsidR="008D7468" w:rsidRDefault="006A04CB">
      <w:pPr>
        <w:pStyle w:val="Legal22"/>
      </w:pPr>
      <w:bookmarkStart w:id="48" w:name="_Toc177887414"/>
      <w:r>
        <w:rPr>
          <w:u w:val="single"/>
        </w:rPr>
        <w:t>Events of Default by Either Party</w:t>
      </w:r>
      <w:r>
        <w:t>.  It shall constitute an event of default (“</w:t>
      </w:r>
      <w:r>
        <w:rPr>
          <w:b/>
          <w:u w:val="single"/>
        </w:rPr>
        <w:t>Event of Default</w:t>
      </w:r>
      <w:r>
        <w:t>”) by either Party hereunder if:</w:t>
      </w:r>
      <w:bookmarkEnd w:id="48"/>
    </w:p>
    <w:p w14:paraId="01A5344E" w14:textId="77777777" w:rsidR="008D7468" w:rsidRDefault="006A04CB">
      <w:pPr>
        <w:pStyle w:val="Legal23"/>
      </w:pPr>
      <w:r>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14:paraId="39D439BA" w14:textId="77777777" w:rsidR="008D7468" w:rsidRDefault="006A04CB">
      <w:pPr>
        <w:pStyle w:val="Legal23"/>
      </w:pPr>
      <w:r>
        <w:rPr>
          <w:u w:val="single"/>
        </w:rPr>
        <w:t>Payment Obligations</w:t>
      </w:r>
      <w:r>
        <w:t>.  Any undisputed payment due and payable hereunder is not made on the date due, and such failure continues for more than ten (10) Business Days after notice thereof is given by the Non-Defaulting Party to the Defaulting Party; or</w:t>
      </w:r>
    </w:p>
    <w:p w14:paraId="1DB7608D" w14:textId="77777777" w:rsidR="008D7468" w:rsidRDefault="006A04CB">
      <w:pPr>
        <w:pStyle w:val="Legal23"/>
      </w:pPr>
      <w:r>
        <w:rPr>
          <w:u w:val="single"/>
        </w:rPr>
        <w:t>Other Covenants</w:t>
      </w:r>
      <w:r>
        <w:t>.  Other than:</w:t>
      </w:r>
    </w:p>
    <w:p w14:paraId="1EFFC735" w14:textId="77777777" w:rsidR="008D7468" w:rsidRDefault="006A04CB">
      <w:pPr>
        <w:pStyle w:val="Legal24"/>
      </w:pPr>
      <w:r>
        <w:t>a Delivery Failure not exceeding ten (10) continuous days,</w:t>
      </w:r>
    </w:p>
    <w:p w14:paraId="558A08C1" w14:textId="77777777" w:rsidR="008D7468" w:rsidRDefault="006A04CB">
      <w:pPr>
        <w:pStyle w:val="Legal24"/>
      </w:pPr>
      <w:r>
        <w:t>failure of the Facility to achieve the Commercial Operation Date by the Guaranteed Commercial Operation Date,</w:t>
      </w:r>
    </w:p>
    <w:p w14:paraId="2B7EBF6A" w14:textId="77777777" w:rsidR="008D7468" w:rsidRDefault="006A04CB">
      <w:pPr>
        <w:pStyle w:val="Legal24"/>
      </w:pPr>
      <w:r>
        <w:t>a failure to maintain the Renewable Energy Standard eligibility requirements set forth in Section 4.7(b) due to a change in Law,</w:t>
      </w:r>
    </w:p>
    <w:p w14:paraId="3881FD2E" w14:textId="77777777" w:rsidR="008D7468" w:rsidRDefault="006A04CB">
      <w:pPr>
        <w:pStyle w:val="Legal24"/>
      </w:pPr>
      <w:r>
        <w:t xml:space="preserve">a Rejected </w:t>
      </w:r>
      <w:r w:rsidRPr="001F389C">
        <w:t>Purchase</w:t>
      </w:r>
      <w:r>
        <w:t xml:space="preserve">, or </w:t>
      </w:r>
    </w:p>
    <w:p w14:paraId="6DDAA5F9" w14:textId="77777777" w:rsidR="008D7468" w:rsidRDefault="006A04CB">
      <w:pPr>
        <w:pStyle w:val="Legal24"/>
      </w:pPr>
      <w:r>
        <w:t>an Event of Default described in Section 9.1(a), 9.1(b), 9.1(d), 9.1(e) or 9.2,</w:t>
      </w:r>
    </w:p>
    <w:p w14:paraId="781E409B" w14:textId="77777777" w:rsidR="008D7468" w:rsidRDefault="006A04CB">
      <w:pPr>
        <w:pStyle w:val="BBody"/>
      </w:pPr>
      <w: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14:paraId="3BA183F4" w14:textId="77777777" w:rsidR="008D7468" w:rsidRDefault="006A04CB">
      <w:pPr>
        <w:pStyle w:val="Legal23"/>
      </w:pPr>
      <w:r>
        <w:rPr>
          <w:u w:val="single"/>
        </w:rPr>
        <w:lastRenderedPageBreak/>
        <w:t>Bankruptcy</w:t>
      </w:r>
      <w:r>
        <w:t>.  Such Party (i)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14:paraId="3E4FF50B" w14:textId="77777777" w:rsidR="008D7468" w:rsidRDefault="006A04CB">
      <w:pPr>
        <w:pStyle w:val="Legal23"/>
      </w:pPr>
      <w:r>
        <w:rPr>
          <w:u w:val="single"/>
        </w:rPr>
        <w:t>Permit Compliance</w:t>
      </w:r>
      <w:r>
        <w:t>.  Such Party fails to obtain and maintain or cause to be obtained and maintained in full force and effect any Permit (other than the Regulatory Approval) necessary for such Party to perform its obligations under this Agreement.</w:t>
      </w:r>
    </w:p>
    <w:p w14:paraId="1C7872D3" w14:textId="77777777" w:rsidR="008D7468" w:rsidRDefault="006A04CB">
      <w:pPr>
        <w:pStyle w:val="Legal22"/>
      </w:pPr>
      <w:bookmarkStart w:id="49" w:name="_Toc177887415"/>
      <w:r>
        <w:rPr>
          <w:u w:val="single"/>
        </w:rPr>
        <w:t>Events of Default by Seller</w:t>
      </w:r>
      <w:r>
        <w:t>.  In addition to the Events of Default described in Section 9.1, each of the following shall constitute an Event of Default by Seller hereunder if:</w:t>
      </w:r>
      <w:bookmarkEnd w:id="49"/>
    </w:p>
    <w:p w14:paraId="53D9DB99" w14:textId="77777777" w:rsidR="008D7468" w:rsidRDefault="006A04CB">
      <w:pPr>
        <w:pStyle w:val="Legal23"/>
      </w:pPr>
      <w:r>
        <w:rPr>
          <w:u w:val="single"/>
        </w:rPr>
        <w:t>Taking of Facility Assets</w:t>
      </w:r>
      <w:r>
        <w:t>.  Any asset of Seller that is material to the construction, operation or maintenance of the Facility or the 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14:paraId="67CA5957" w14:textId="77777777" w:rsidR="008D7468" w:rsidRDefault="006A04CB">
      <w:pPr>
        <w:pStyle w:val="Legal23"/>
      </w:pPr>
      <w:r>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[(which five (5) Business Days period shall include any cure period in the definition of Letter of Credit Default)].  [For the avoidance of doubt, it shall be deemed an Event of Default if Seller provides Credit Support in the form of a Letter of Credit and, with respect to an outstanding Letter of Credit, one of the following events occurs with respect to the issuer of such Letter of Credit:  (i) such issuer shall fail to be a Qualified Bank; (ii) such issuer shall fail to comply with or perform its obligations under such Letter of Credit; or (iii) such issuer shall disaffirm, disclaim, repudiate or reject, in whole or in part, or challenge the validity of, such Letter of Credit, and such failure, disaffirmation, disclamation, repudiation or rejection continues for more than five (5) Business Days after Buyer has provided written notice thereof to Seller]; or</w:t>
      </w:r>
    </w:p>
    <w:p w14:paraId="58D259DC" w14:textId="77777777" w:rsidR="008D7468" w:rsidRDefault="006A04CB">
      <w:pPr>
        <w:pStyle w:val="Legal23"/>
      </w:pPr>
      <w:r>
        <w:rPr>
          <w:u w:val="single"/>
        </w:rPr>
        <w:t>Energy Output</w:t>
      </w:r>
      <w:r>
        <w:t>.  The failure of the Facility to produce Energy for twelve (12) consecutive months during the Services Term; or</w:t>
      </w:r>
    </w:p>
    <w:p w14:paraId="18CE4569" w14:textId="77777777" w:rsidR="008D7468" w:rsidRDefault="006A04CB">
      <w:pPr>
        <w:pStyle w:val="Legal23"/>
      </w:pPr>
      <w:r>
        <w:rPr>
          <w:u w:val="single"/>
        </w:rPr>
        <w:t>Failure to Satisfy ISO-NE Obligations</w:t>
      </w:r>
      <w:r>
        <w:t xml:space="preserve">.  The failure of Seller to satisfy, or cause to be satisfied (other than by Buyer), any material obligation under the ISO-NE Rules or ISO-NE Practices or any other obligation with respect to ISO-NE and such failure has an adverse effect on the Facility or Seller’s ability to perform its obligations under this Agreement or on Buyer or Buyer’s rights or  ability to receive the benefits under this Agreement; provided, however, if Seller’s failure to satisfy any obligation under the ISO-NE Rules or ISO-NE </w:t>
      </w:r>
      <w:r>
        <w:lastRenderedPageBreak/>
        <w:t>Practices does not have an adverse effect on Buyer or Buyer’s ability to receive the benefits under this Agreement, Seller shall have the opportunity to cure such failure within thirty (30) days of its occurrence; or</w:t>
      </w:r>
    </w:p>
    <w:p w14:paraId="3C49839E" w14:textId="77777777" w:rsidR="008D7468" w:rsidRDefault="006A04CB">
      <w:pPr>
        <w:pStyle w:val="Legal23"/>
      </w:pPr>
      <w:r>
        <w:rPr>
          <w:u w:val="single"/>
        </w:rPr>
        <w:t>Failure to Meet Critical Milestones</w:t>
      </w:r>
      <w:r>
        <w:t>.  The failure of Seller to satisfy any Critical Milestone by the date set forth therefor in Section 3.1(a), as the same may be extended in accordance with Section 3.1(c); or</w:t>
      </w:r>
    </w:p>
    <w:p w14:paraId="6B4B2042" w14:textId="77777777" w:rsidR="008D7468" w:rsidRDefault="006A04CB">
      <w:pPr>
        <w:pStyle w:val="Legal23"/>
      </w:pPr>
      <w:r>
        <w:rPr>
          <w:u w:val="single"/>
        </w:rPr>
        <w:t>Abandonment</w:t>
      </w:r>
      <w:r>
        <w:t>.  On or after the Commercial Operation Date, the permanent relinquishment by Seller of all of its possession and control of the Facility, other than a transfer permitted under this Agreement; or</w:t>
      </w:r>
    </w:p>
    <w:p w14:paraId="3C217857" w14:textId="77777777" w:rsidR="008D7468" w:rsidRDefault="006A04CB">
      <w:pPr>
        <w:pStyle w:val="Legal23"/>
      </w:pPr>
      <w:r>
        <w:rPr>
          <w:u w:val="single"/>
        </w:rPr>
        <w:t>Assignment</w:t>
      </w:r>
      <w:r>
        <w:t>.  The assignment of this Agreement by Seller, or Seller’s sale or transfer of its interest (or any part thereof) in the Facility, except as permitted in accordance with Article 14; or</w:t>
      </w:r>
    </w:p>
    <w:p w14:paraId="6B127EE4" w14:textId="77777777" w:rsidR="008D7468" w:rsidRDefault="006A04CB">
      <w:pPr>
        <w:pStyle w:val="Legal23"/>
      </w:pPr>
      <w:r>
        <w:rPr>
          <w:u w:val="single"/>
        </w:rPr>
        <w:t>Recurring Delivery Failure</w:t>
      </w:r>
      <w:r>
        <w:t>.  A Delivery Failure of ten (10) continuous days or more; or</w:t>
      </w:r>
    </w:p>
    <w:p w14:paraId="3F9AD023" w14:textId="77777777" w:rsidR="008D7468" w:rsidRDefault="006A04CB">
      <w:pPr>
        <w:pStyle w:val="Legal23"/>
      </w:pPr>
      <w:r>
        <w:rPr>
          <w:u w:val="single"/>
        </w:rPr>
        <w:t>Failure to Provide Status Reports</w:t>
      </w:r>
      <w:r>
        <w:t>.  A failure to provide timely, accurate and complete status reports in accordance with this Agreement, and such failure continues for more than five (5) days after notice thereof is given by the Buyer; or</w:t>
      </w:r>
    </w:p>
    <w:p w14:paraId="312FAA5A" w14:textId="77777777" w:rsidR="008D7468" w:rsidRDefault="006A04CB">
      <w:pPr>
        <w:pStyle w:val="Legal23"/>
      </w:pPr>
      <w:r>
        <w:rPr>
          <w:u w:val="single"/>
        </w:rPr>
        <w:t>Failure to Maintain Renewable Energy Standard Eligibility</w:t>
      </w:r>
      <w:r>
        <w:t>.  A failure to maintain Renewable Energy Standard eligibility requirements set forth in Section 4.7(b).</w:t>
      </w:r>
    </w:p>
    <w:p w14:paraId="0CA71E28" w14:textId="77777777" w:rsidR="008D7468" w:rsidRDefault="006A04CB">
      <w:pPr>
        <w:pStyle w:val="Legal22"/>
        <w:keepNext/>
      </w:pPr>
      <w:bookmarkStart w:id="50" w:name="_Toc177887416"/>
      <w:r>
        <w:rPr>
          <w:u w:val="single"/>
        </w:rPr>
        <w:t>Remedies</w:t>
      </w:r>
      <w:r>
        <w:t>.</w:t>
      </w:r>
      <w:bookmarkEnd w:id="50"/>
    </w:p>
    <w:p w14:paraId="023CA7BF" w14:textId="77777777" w:rsidR="008D7468" w:rsidRDefault="006A04CB">
      <w:pPr>
        <w:pStyle w:val="Legal23"/>
      </w:pPr>
      <w:r>
        <w:rPr>
          <w:u w:val="single"/>
        </w:rPr>
        <w:t>Suspension of Performance and Remedies at Law</w:t>
      </w:r>
      <w:r>
        <w:t>.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Party’s obligations under this Agreement.</w:t>
      </w:r>
    </w:p>
    <w:p w14:paraId="6BFBFB3D" w14:textId="77777777" w:rsidR="008D7468" w:rsidRDefault="006A04CB">
      <w:pPr>
        <w:pStyle w:val="Legal23"/>
      </w:pPr>
      <w:r>
        <w:rPr>
          <w:u w:val="single"/>
        </w:rPr>
        <w:t>Termination and Termination Payment</w:t>
      </w:r>
      <w: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Pr>
          <w:b/>
          <w:u w:val="single"/>
        </w:rPr>
        <w:t>Termination Payment</w:t>
      </w:r>
      <w:r>
        <w:t>” as follows:</w:t>
      </w:r>
    </w:p>
    <w:p w14:paraId="3CE23D7C" w14:textId="77777777" w:rsidR="008D7468" w:rsidRDefault="006A04CB">
      <w:pPr>
        <w:pStyle w:val="Legal24"/>
      </w:pPr>
      <w:r>
        <w:rPr>
          <w:i/>
        </w:rPr>
        <w:t>Termination by Buyer Prior to Commercial Operation Date</w:t>
      </w:r>
      <w:r>
        <w:t xml:space="preserve">.  If Buyer terminates this Agreement because of an Event of Default by Seller occurring prior to the Commercial Operation Date, the </w:t>
      </w:r>
      <w:r>
        <w:lastRenderedPageBreak/>
        <w:t>Termination Payment due to Buyer shall be equal to the sum of (x) all Delay Damages due and owing by Seller through the date of such termination plus (y) the full amount of the Development Period Security required to be provided to Buyer by Seller.</w:t>
      </w:r>
    </w:p>
    <w:p w14:paraId="4E5DA539" w14:textId="77777777" w:rsidR="008D7468" w:rsidRDefault="006A04CB">
      <w:pPr>
        <w:pStyle w:val="Legal24"/>
      </w:pPr>
      <w:r>
        <w:rPr>
          <w:i/>
        </w:rPr>
        <w:t>Termination by Seller Prior to Commercial Operation Date</w:t>
      </w:r>
      <w:r>
        <w:t>.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14:paraId="79985A1D" w14:textId="77777777" w:rsidR="008D7468" w:rsidRDefault="006A04CB">
      <w:pPr>
        <w:pStyle w:val="Legal24"/>
      </w:pPr>
      <w:r>
        <w:rPr>
          <w:i/>
        </w:rPr>
        <w:t>Termination by Buyer On or After Commercial Operation Date</w:t>
      </w:r>
      <w:r>
        <w:t xml:space="preserve">.  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(A) the amount, if, any, by which the forward market price of Energy and Renewable Energy Credits,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Energy output of the Facility as </w:t>
      </w:r>
      <w:r>
        <w:lastRenderedPageBreak/>
        <w:t>determined by a recognized  third party expert selected by Buyer, using a probability of exceedance basis of 50%; plus, (y) any costs incurred or to be incurred by Buyer in connection with the Related Transmission Facilities for the Energy not delivered as a result of such Termination in excess of such costs for Replacement Energy, plus (z) any costs and losses incurred by Buyer as a result of the Event of Default and termination of the Agreement.</w:t>
      </w:r>
    </w:p>
    <w:p w14:paraId="64C605A4" w14:textId="77777777" w:rsidR="008D7468" w:rsidRDefault="006A04CB">
      <w:pPr>
        <w:pStyle w:val="BIndent"/>
        <w:ind w:left="2880"/>
      </w:pPr>
      <w:r>
        <w:t>All such amounts shall be determined by Buyer in good faith and in a commercially reasonable manner, and Buyer shall provide Seller with a reasonably detailed calculation of the Termination Payment due under this Section 9.3(b)(iii).</w:t>
      </w:r>
    </w:p>
    <w:p w14:paraId="1BD34F34" w14:textId="77777777" w:rsidR="008D7468" w:rsidRDefault="006A04CB">
      <w:pPr>
        <w:pStyle w:val="Legal24"/>
      </w:pPr>
      <w:r>
        <w:rPr>
          <w:i/>
        </w:rPr>
        <w:t>Termination by Seller On or After Commercial Operation Date</w:t>
      </w:r>
      <w: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Renewable Energy Credits  as determined by the average of the quotes of at least two nationally recognized energy consulting firms or brokers chosen by Seller, for Replacement Energy and Replacement RECs, multiplied by (ii) Buyer’s Percentage Entitlement to the projected Energy output of the Facility as determined by a recognized  third party expert selected by Seller using a probability of exceedance basis of 50%; plus, (y) any costs and losses incurred by Seller as a result of the Event of Default and termination of the Agreement.</w:t>
      </w:r>
    </w:p>
    <w:p w14:paraId="14924394" w14:textId="77777777" w:rsidR="008D7468" w:rsidRDefault="006A04CB">
      <w:pPr>
        <w:pStyle w:val="BIndent"/>
        <w:ind w:left="2880"/>
      </w:pPr>
      <w:r>
        <w:t>All such amounts shall be determined by Seller in good faith and in a commercially reasonable manner, and Seller shall provide Buyer with a reasonably detailed calculation of the Termination Payment due under this Section 9.3(b)(iv).</w:t>
      </w:r>
    </w:p>
    <w:p w14:paraId="4A373565" w14:textId="77777777" w:rsidR="008D7468" w:rsidRDefault="006A04CB">
      <w:pPr>
        <w:pStyle w:val="Legal24"/>
      </w:pPr>
      <w:r>
        <w:rPr>
          <w:i/>
        </w:rPr>
        <w:t>Acceptability of Liquidated Damages</w:t>
      </w:r>
      <w:r>
        <w:t xml:space="preserve">.  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w:t>
      </w:r>
      <w:r>
        <w:lastRenderedPageBreak/>
        <w:t>the Termination Payment as agreed to by the Parties and set forth herein is a fair and reasonable calculation of such damages.</w:t>
      </w:r>
    </w:p>
    <w:p w14:paraId="4308391C" w14:textId="77777777" w:rsidR="008D7468" w:rsidRDefault="006A04CB">
      <w:pPr>
        <w:pStyle w:val="Legal24"/>
      </w:pPr>
      <w:r>
        <w:rPr>
          <w:i/>
        </w:rPr>
        <w:t>Payment of Termination Payment</w:t>
      </w:r>
      <w:r>
        <w:t>.  The Defaulting Party shall make the Termination Payment within ten (10) Business Days after such notice is effective, regardless whether the Termination Payment calculation is disputed.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p>
    <w:p w14:paraId="2D83C3B6" w14:textId="77777777" w:rsidR="008D7468" w:rsidRDefault="006A04CB">
      <w:pPr>
        <w:pStyle w:val="Legal23"/>
      </w:pPr>
      <w:r>
        <w:rPr>
          <w:u w:val="single"/>
        </w:rPr>
        <w:t>Set-off</w:t>
      </w:r>
      <w:r>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14:paraId="32F7DD1B" w14:textId="77777777" w:rsidR="008D7468" w:rsidRDefault="006A04CB">
      <w:pPr>
        <w:pStyle w:val="Legal23"/>
      </w:pPr>
      <w:r>
        <w:rPr>
          <w:u w:val="single"/>
        </w:rPr>
        <w:t>Notice to Lenders</w:t>
      </w:r>
      <w:r>
        <w:t>.  Seller shall provide Buyer with a notice identifying a single Lender (if any) to whom Default notices are to be issued.  Buyer shall provide a copy of the notice of any Default of Seller under this Article 9 to that Lender, and Buyer shall afford such Lender the same opportunities to cure Events of Default under this Agreement as are provided to Seller hereunder.</w:t>
      </w:r>
    </w:p>
    <w:p w14:paraId="69EA334A" w14:textId="77777777" w:rsidR="008D7468" w:rsidRDefault="006A04CB">
      <w:pPr>
        <w:pStyle w:val="Legal23"/>
      </w:pPr>
      <w:r>
        <w:rPr>
          <w:u w:val="single"/>
        </w:rPr>
        <w:t>Limitation of Remedies, Liability and Damages</w:t>
      </w:r>
      <w:r>
        <w:t xml:space="preserve">.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w:t>
      </w:r>
      <w:r>
        <w:lastRenderedPageBreak/>
        <w:t>ACKNOWLEDGE THAT THE DAMAGES ARE DIFFICULT OR IMPOSSIBLE TO DETERMINE, OR OTHERWISE OBTAINING AN ADEQUATE REMEDY IS INCONVENIENT AND THE DAMAGES CALCULATED HEREUNDER CONSTITUTE A REASONABLE APPROXIMATION OF THE HARM OR LOSS.</w:t>
      </w:r>
    </w:p>
    <w:p w14:paraId="58BE9FF5" w14:textId="77777777" w:rsidR="008D7468" w:rsidRDefault="006A04CB">
      <w:pPr>
        <w:pStyle w:val="Legal21"/>
      </w:pPr>
      <w:bookmarkStart w:id="51" w:name="_Toc177887417"/>
      <w:r>
        <w:t>FORCE MAJEURE</w:t>
      </w:r>
      <w:bookmarkEnd w:id="51"/>
    </w:p>
    <w:p w14:paraId="240B606F" w14:textId="77777777" w:rsidR="008D7468" w:rsidRDefault="006A04CB">
      <w:pPr>
        <w:pStyle w:val="Legal22"/>
        <w:keepNext/>
      </w:pPr>
      <w:bookmarkStart w:id="52" w:name="_Toc177887418"/>
      <w:r>
        <w:rPr>
          <w:u w:val="single"/>
        </w:rPr>
        <w:t>Force Majeure</w:t>
      </w:r>
      <w:r>
        <w:t>.</w:t>
      </w:r>
      <w:bookmarkEnd w:id="52"/>
    </w:p>
    <w:p w14:paraId="637F4169" w14:textId="3FF1F487" w:rsidR="008D7468" w:rsidRDefault="006A04CB">
      <w:pPr>
        <w:pStyle w:val="Legal23"/>
      </w:pPr>
      <w:r>
        <w:t>The term “</w:t>
      </w:r>
      <w:r w:rsidRPr="4CE0D363">
        <w:rPr>
          <w:b/>
          <w:bCs/>
          <w:u w:val="single"/>
        </w:rPr>
        <w:t>Force Majeure</w:t>
      </w:r>
      <w:r>
        <w:t>” 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equipment breakdown or other mishap or events or conditions attributable to normal wear and tear or flaws, unless such curtailment or mishap is caused by one of the following:  acts of God such as floods, hurricanes or tornados; sabotage; terrorism; or war, (w) any occurrence or event 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specified in Section 3.1(a)(i) (Permits) or Section 3.1(a)(</w:t>
      </w:r>
      <w:r w:rsidR="00224540">
        <w:t>v</w:t>
      </w:r>
      <w:r>
        <w:t>)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14:paraId="23FD571A" w14:textId="77777777" w:rsidR="008D7468" w:rsidRDefault="006A04CB">
      <w:pPr>
        <w:pStyle w:val="Legal23"/>
      </w:pPr>
      <w:r>
        <w:t xml:space="preserve">Subject to Section 3.1(d),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w:t>
      </w:r>
      <w:r>
        <w:lastRenderedPageBreak/>
        <w:t>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14:paraId="490340E2" w14:textId="77777777" w:rsidR="008D7468" w:rsidRDefault="006A04CB">
      <w:pPr>
        <w:pStyle w:val="Legal23"/>
      </w:pPr>
      <w:r>
        <w:t>Notwithstanding the foregoing, 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14:paraId="1CDD0009" w14:textId="77777777" w:rsidR="008D7468" w:rsidRDefault="006A04CB">
      <w:pPr>
        <w:pStyle w:val="Legal21"/>
      </w:pPr>
      <w:bookmarkStart w:id="53" w:name="_Toc177887419"/>
      <w:r>
        <w:t>DISPUTE RESOLUTION</w:t>
      </w:r>
      <w:bookmarkEnd w:id="53"/>
    </w:p>
    <w:p w14:paraId="65571C41" w14:textId="77777777" w:rsidR="008D7468" w:rsidRDefault="006A04CB">
      <w:pPr>
        <w:pStyle w:val="Legal22"/>
      </w:pPr>
      <w:bookmarkStart w:id="54" w:name="_Toc177887420"/>
      <w:r>
        <w:rPr>
          <w:u w:val="single"/>
        </w:rPr>
        <w:t>Dispute Resolution</w:t>
      </w:r>
      <w:r>
        <w:t>.  In the event of any dispute, controversy or claim between the Parties arising out of or relating to this Agreement (collectively, a “</w:t>
      </w:r>
      <w:r>
        <w:rPr>
          <w:b/>
          <w:u w:val="single"/>
        </w:rPr>
        <w:t>Dispute</w:t>
      </w:r>
      <w:r>
        <w:t>”), in addition to any other remedies provided hereunder, the Parties shall attempt to resolve such Dispute through consultations between the Parties.  If the Dispute has not been resolved within fifteen (15) Business Days after such consultations between the Parties, then either Party may seek to resolve such Dispute in the courts of the state of Rhode Island;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thirty (30)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bookmarkEnd w:id="54"/>
    </w:p>
    <w:p w14:paraId="59E3D249" w14:textId="77777777" w:rsidR="008D7468" w:rsidRDefault="006A04CB">
      <w:pPr>
        <w:pStyle w:val="Legal22"/>
      </w:pPr>
      <w:bookmarkStart w:id="55" w:name="_Toc177887421"/>
      <w:r>
        <w:rPr>
          <w:u w:val="single"/>
        </w:rPr>
        <w:t>Allocation of Dispute Costs</w:t>
      </w:r>
      <w:r>
        <w:t>.  The fees and expenses associated with mediation shall be divided equally between the Parties, and each Party shall be responsible for its own legal fees, including but not limited to attorney fees, associated with any Dispute.</w:t>
      </w:r>
      <w:bookmarkEnd w:id="55"/>
    </w:p>
    <w:p w14:paraId="14073135" w14:textId="77777777" w:rsidR="008D7468" w:rsidRDefault="006A04CB">
      <w:pPr>
        <w:pStyle w:val="Legal22"/>
      </w:pPr>
      <w:bookmarkStart w:id="56" w:name="_Toc177887422"/>
      <w:r>
        <w:rPr>
          <w:u w:val="single"/>
        </w:rPr>
        <w:t>Consent to Jurisdiction</w:t>
      </w:r>
      <w:r>
        <w:t>.  Subject to Section 11.1, the Parties agree to the exclusive jurisdiction of the state and federal courts located in the state of Rhode Island for any legal proceedings that may be brought by a Party arising out of or in connection with any Dispute.</w:t>
      </w:r>
      <w:bookmarkEnd w:id="56"/>
    </w:p>
    <w:p w14:paraId="72F78D4D" w14:textId="77777777" w:rsidR="008D7468" w:rsidRDefault="006A04CB">
      <w:pPr>
        <w:pStyle w:val="Legal22"/>
      </w:pPr>
      <w:bookmarkStart w:id="57" w:name="_Toc177887423"/>
      <w:r>
        <w:rPr>
          <w:u w:val="single"/>
        </w:rPr>
        <w:t>Waiver of Jury Trial and Inconvenient Forum Claim</w:t>
      </w:r>
      <w:r>
        <w:t>.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bookmarkEnd w:id="57"/>
    </w:p>
    <w:p w14:paraId="1DF4B504" w14:textId="77777777" w:rsidR="008D7468" w:rsidRDefault="006A04CB">
      <w:pPr>
        <w:pStyle w:val="Legal21"/>
      </w:pPr>
      <w:bookmarkStart w:id="58" w:name="_Toc177887424"/>
      <w:r>
        <w:lastRenderedPageBreak/>
        <w:t>CONFIDENTIALITY</w:t>
      </w:r>
      <w:bookmarkEnd w:id="58"/>
    </w:p>
    <w:p w14:paraId="4FD11F9C" w14:textId="77777777" w:rsidR="008D7468" w:rsidRDefault="006A04CB">
      <w:pPr>
        <w:pStyle w:val="Legal22"/>
      </w:pPr>
      <w:bookmarkStart w:id="59" w:name="_Toc177887425"/>
      <w:r>
        <w:rPr>
          <w:u w:val="single"/>
        </w:rPr>
        <w:t>Nondisclosure</w:t>
      </w:r>
      <w:r>
        <w:t>.  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bookmarkEnd w:id="59"/>
    </w:p>
    <w:p w14:paraId="24B6969D" w14:textId="77777777" w:rsidR="008D7468" w:rsidRDefault="006A04CB">
      <w:pPr>
        <w:pStyle w:val="Legal23"/>
      </w:pPr>
      <w:r>
        <w:t xml:space="preserve">to the extent Buyer determines it is appropriate in connection with efforts to obtain or maintain the Regulatory Approval or to seek rate recovery for amounts expended by Buyer under this Agreement </w:t>
      </w:r>
    </w:p>
    <w:p w14:paraId="0BBCD0F1" w14:textId="77777777" w:rsidR="008D7468" w:rsidRDefault="006A04CB">
      <w:pPr>
        <w:pStyle w:val="Legal23"/>
      </w:pPr>
      <w: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14:paraId="65A86119" w14:textId="77777777" w:rsidR="008D7468" w:rsidRDefault="006A04CB">
      <w:pPr>
        <w:pStyle w:val="Legal23"/>
      </w:pPr>
      <w: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14:paraId="07A1FB17" w14:textId="77777777" w:rsidR="008D7468" w:rsidRDefault="006A04CB">
      <w:pPr>
        <w:pStyle w:val="Legal23"/>
      </w:pPr>
      <w:r>
        <w:t xml:space="preserve">in order to comply with any rule or regulation of ISO-NE, other system operators, any stock exchange or similar Person or for financial disclosure purposes; </w:t>
      </w:r>
    </w:p>
    <w:p w14:paraId="6C2A5042" w14:textId="77777777" w:rsidR="008D7468" w:rsidRDefault="006A04CB">
      <w:pPr>
        <w:pStyle w:val="Legal23"/>
      </w:pPr>
      <w:r>
        <w:t>to the extent the non-disclosing Party shall have consented in writing prior to any such disclosure; and</w:t>
      </w:r>
    </w:p>
    <w:p w14:paraId="2E55E8F1" w14:textId="77777777" w:rsidR="008D7468" w:rsidRDefault="006A04CB">
      <w:pPr>
        <w:pStyle w:val="Legal23"/>
      </w:pPr>
      <w:r>
        <w:t>to the extent that the information was previously made publicly available other than as a result of a breach of this Section 12.1;</w:t>
      </w:r>
    </w:p>
    <w:p w14:paraId="30D62DDC" w14:textId="77777777" w:rsidR="008D7468" w:rsidRDefault="006A04CB">
      <w:pPr>
        <w:pStyle w:val="BBody"/>
      </w:pPr>
      <w: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14:paraId="23AA0F44" w14:textId="77777777" w:rsidR="008D7468" w:rsidRDefault="006A04CB">
      <w:pPr>
        <w:pStyle w:val="Legal22"/>
      </w:pPr>
      <w:bookmarkStart w:id="60" w:name="_Toc177887426"/>
      <w:r>
        <w:rPr>
          <w:u w:val="single"/>
        </w:rPr>
        <w:t>Public Statements</w:t>
      </w:r>
      <w:r>
        <w:t>.  No public statement, press release or other voluntary publication regarding this Agreement or the transactions to be made hereunder shall be made or issued without the prior consent of the other Party.</w:t>
      </w:r>
      <w:bookmarkEnd w:id="60"/>
    </w:p>
    <w:p w14:paraId="4E185BF9" w14:textId="77777777" w:rsidR="008D7468" w:rsidRDefault="006A04CB">
      <w:pPr>
        <w:pStyle w:val="Legal21"/>
      </w:pPr>
      <w:bookmarkStart w:id="61" w:name="_Toc177887427"/>
      <w:r>
        <w:t>INDEMNIFICATION</w:t>
      </w:r>
      <w:bookmarkEnd w:id="61"/>
      <w:r>
        <w:t xml:space="preserve"> </w:t>
      </w:r>
    </w:p>
    <w:p w14:paraId="178D491C" w14:textId="77777777" w:rsidR="008D7468" w:rsidRDefault="006A04CB">
      <w:pPr>
        <w:pStyle w:val="Legal22"/>
      </w:pPr>
      <w:bookmarkStart w:id="62" w:name="_Toc177887428"/>
      <w:r>
        <w:rPr>
          <w:u w:val="single"/>
        </w:rPr>
        <w:t>Indemnification Obligations</w:t>
      </w:r>
      <w:r>
        <w:t xml:space="preserve">.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w:t>
      </w:r>
      <w:r>
        <w:lastRenderedPageBreak/>
        <w:t>Seller’s negligence, gross negligence, or willful misconduct, or Seller’s failure to satisfy any obligation or liability under this Agreement, or Seller’s failure to satisfy any regulatory requirement or commitment associated with this Agreement.</w:t>
      </w:r>
      <w:bookmarkEnd w:id="62"/>
    </w:p>
    <w:p w14:paraId="223A6EFF" w14:textId="33F6AB7F" w:rsidR="008D7468" w:rsidRDefault="006A04CB">
      <w:pPr>
        <w:pStyle w:val="Legal22"/>
      </w:pPr>
      <w:bookmarkStart w:id="63" w:name="_Toc177887429"/>
      <w:r>
        <w:rPr>
          <w:u w:val="single"/>
        </w:rPr>
        <w:t>Failure to Defend</w:t>
      </w:r>
      <w:r>
        <w:t>.  If Seller fails to assume the defense of a claim meriting indemnification, Buyer may at the expense of Seller contest, settle or pay such claim, and</w:t>
      </w:r>
      <w:r w:rsidR="00F75B29">
        <w:t xml:space="preserve"> Seller</w:t>
      </w:r>
      <w:r>
        <w:t xml:space="preserve"> shall promptly reimburse Buyer for all costs incurred by Buyer associated therewith.</w:t>
      </w:r>
      <w:bookmarkEnd w:id="63"/>
    </w:p>
    <w:p w14:paraId="36C0EC7A" w14:textId="77777777" w:rsidR="008D7468" w:rsidRDefault="006A04CB">
      <w:pPr>
        <w:pStyle w:val="Legal21"/>
      </w:pPr>
      <w:bookmarkStart w:id="64" w:name="_Toc177887430"/>
      <w:r>
        <w:t>ASSIGNMENT AND CHANGE OF CONTROL</w:t>
      </w:r>
      <w:bookmarkEnd w:id="64"/>
    </w:p>
    <w:p w14:paraId="223CD4DF" w14:textId="77777777" w:rsidR="008D7468" w:rsidRDefault="006A04CB">
      <w:pPr>
        <w:pStyle w:val="Legal22"/>
      </w:pPr>
      <w:bookmarkStart w:id="65" w:name="_Toc177887431"/>
      <w:r>
        <w:rPr>
          <w:u w:val="single"/>
        </w:rPr>
        <w:t>Prohibition on Assignments</w:t>
      </w:r>
      <w:r>
        <w:t>.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reimburse such other Party for all “out of pocket” costs and expenses such other Party incurs 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pledgor, or transferor from its obligations thereunder.</w:t>
      </w:r>
      <w:bookmarkEnd w:id="65"/>
    </w:p>
    <w:p w14:paraId="12BF2C9B" w14:textId="77777777" w:rsidR="008D7468" w:rsidRDefault="006A04CB">
      <w:pPr>
        <w:pStyle w:val="Legal22"/>
      </w:pPr>
      <w:bookmarkStart w:id="66" w:name="_Toc177887432"/>
      <w:r>
        <w:rPr>
          <w:u w:val="single"/>
        </w:rPr>
        <w:t>Permitted Assignment by Seller</w:t>
      </w:r>
      <w:r>
        <w:t>.  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 of pocket” costs and expenses Buyer incurs in connection with that consent, without regarding to whether such consent is provided.</w:t>
      </w:r>
      <w:bookmarkEnd w:id="66"/>
    </w:p>
    <w:p w14:paraId="4B1EF59F" w14:textId="77777777" w:rsidR="008D7468" w:rsidRDefault="006A04CB">
      <w:pPr>
        <w:pStyle w:val="Legal22"/>
      </w:pPr>
      <w:bookmarkStart w:id="67" w:name="_Toc177887433"/>
      <w:r>
        <w:rPr>
          <w:u w:val="single"/>
        </w:rPr>
        <w:t>Change in Control over Seller</w:t>
      </w:r>
      <w: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bookmarkEnd w:id="67"/>
    </w:p>
    <w:p w14:paraId="7DC1C141" w14:textId="121BEE91" w:rsidR="008D7468" w:rsidRDefault="006A04CB">
      <w:pPr>
        <w:pStyle w:val="Legal22"/>
      </w:pPr>
      <w:bookmarkStart w:id="68" w:name="_Toc177887434"/>
      <w:r>
        <w:rPr>
          <w:u w:val="single"/>
        </w:rPr>
        <w:t>Permitted Assignment by Buyer</w:t>
      </w:r>
      <w:r>
        <w:t xml:space="preserve">.  Buyer shall have the right to assign this Agreement without consent of Seller (a) in connection with any merger or consolidation of the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w:t>
      </w:r>
      <w:r w:rsidR="0093489F">
        <w:t>Credit Rating</w:t>
      </w:r>
      <w:r>
        <w:t xml:space="preserve"> is at least either BBB- from S&amp;P or Baa3 from Moody’s or (2) the proposed assignee’s </w:t>
      </w:r>
      <w:r w:rsidR="0093489F">
        <w:t>Credit Rating</w:t>
      </w:r>
      <w:r>
        <w:t xml:space="preserve"> is equal to or better than that of Buyer at </w:t>
      </w:r>
      <w:r>
        <w:lastRenderedPageBreak/>
        <w:t>the time of the proposed assignment, or (3) such assignment, or in the case of clause (a) above the transaction associated with such assignment, has been approved by the PUC or the appropriate Government Entity.</w:t>
      </w:r>
      <w:bookmarkEnd w:id="68"/>
    </w:p>
    <w:p w14:paraId="0D1FDB6B" w14:textId="77777777" w:rsidR="008D7468" w:rsidRDefault="006A04CB">
      <w:pPr>
        <w:pStyle w:val="Legal22"/>
      </w:pPr>
      <w:bookmarkStart w:id="69" w:name="_Toc177887435"/>
      <w:r>
        <w:rPr>
          <w:u w:val="single"/>
        </w:rPr>
        <w:t>Prohibited Assignments</w:t>
      </w:r>
      <w:r>
        <w:t>.  Any purported assignment of this Agreement not in compliance with the provisions of this Article 14 shall be null and void.</w:t>
      </w:r>
      <w:bookmarkEnd w:id="69"/>
    </w:p>
    <w:p w14:paraId="1A3154A4" w14:textId="77777777" w:rsidR="008D7468" w:rsidRDefault="006A04CB">
      <w:pPr>
        <w:pStyle w:val="Legal21"/>
      </w:pPr>
      <w:bookmarkStart w:id="70" w:name="_Toc177887436"/>
      <w:r>
        <w:t>TITLE; RISK OF LOSS</w:t>
      </w:r>
      <w:bookmarkEnd w:id="70"/>
    </w:p>
    <w:p w14:paraId="7188D6F7" w14:textId="77777777" w:rsidR="008D7468" w:rsidRDefault="006A04CB">
      <w:pPr>
        <w:pStyle w:val="BFirstInd"/>
      </w:pPr>
      <w:r>
        <w:t>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Seller warrants that it shall deliver to Buyer the Products free and clear of all liens and claims therein or thereto by any Person.</w:t>
      </w:r>
    </w:p>
    <w:p w14:paraId="29ABB532" w14:textId="77777777" w:rsidR="008D7468" w:rsidRDefault="006A04CB">
      <w:pPr>
        <w:pStyle w:val="Legal21"/>
      </w:pPr>
      <w:bookmarkStart w:id="71" w:name="_Toc177887437"/>
      <w:r>
        <w:t>AUDIT</w:t>
      </w:r>
      <w:bookmarkEnd w:id="71"/>
    </w:p>
    <w:p w14:paraId="3B53158F" w14:textId="77777777" w:rsidR="008D7468" w:rsidRDefault="006A04CB">
      <w:pPr>
        <w:pStyle w:val="Legal22"/>
      </w:pPr>
      <w:bookmarkStart w:id="72" w:name="_Toc177887438"/>
      <w:r>
        <w:rPr>
          <w:u w:val="single"/>
        </w:rPr>
        <w:t>Audit</w:t>
      </w:r>
      <w: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bookmarkEnd w:id="72"/>
    </w:p>
    <w:p w14:paraId="7D6ED2FB" w14:textId="77777777" w:rsidR="008D7468" w:rsidRDefault="006A04CB">
      <w:pPr>
        <w:pStyle w:val="Legal22"/>
      </w:pPr>
      <w:bookmarkStart w:id="73" w:name="_Toc177887439"/>
      <w:r>
        <w:rPr>
          <w:u w:val="single"/>
        </w:rPr>
        <w:t>Access to Financial Information</w:t>
      </w:r>
      <w: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bookmarkEnd w:id="73"/>
    </w:p>
    <w:p w14:paraId="1FA0E4B1" w14:textId="77777777" w:rsidR="008D7468" w:rsidRDefault="006A04CB">
      <w:pPr>
        <w:pStyle w:val="Legal21"/>
      </w:pPr>
      <w:bookmarkStart w:id="74" w:name="_Toc177887440"/>
      <w:r>
        <w:t>NOTICES</w:t>
      </w:r>
      <w:bookmarkEnd w:id="74"/>
    </w:p>
    <w:p w14:paraId="7A72175D" w14:textId="77777777" w:rsidR="008D7468" w:rsidRDefault="006A04CB">
      <w:pPr>
        <w:pStyle w:val="BFirstInd"/>
      </w:pPr>
      <w:r>
        <w:t>Any notice or communication given pursuant hereto shall be in writing and delivered by electronic mail (such notices shall be deemed given upon confirmation of delivery); followed by a hard copy of such notice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reputable overnight courier; in each case addressed as follows or to such other addresses as may hereafter be designated by either Party to the other in writing:</w:t>
      </w:r>
    </w:p>
    <w:p w14:paraId="123C08D7" w14:textId="7B4DDE89" w:rsidR="009E2673" w:rsidRDefault="006A04CB">
      <w:pPr>
        <w:ind w:left="1440" w:hanging="1440"/>
      </w:pPr>
      <w:r>
        <w:t>If to Buyer:</w:t>
      </w:r>
      <w:r>
        <w:tab/>
        <w:t xml:space="preserve">Attn: </w:t>
      </w:r>
      <w:r w:rsidR="009E2673">
        <w:t>Energy Procurement Team</w:t>
      </w:r>
      <w:r>
        <w:br/>
      </w:r>
      <w:r w:rsidR="009E2673">
        <w:t>Rhode Island Energy</w:t>
      </w:r>
      <w:r>
        <w:br/>
      </w:r>
      <w:r w:rsidR="009E2673">
        <w:t>827 Hausman Rd., 1</w:t>
      </w:r>
      <w:r w:rsidR="009E2673" w:rsidRPr="00224540">
        <w:rPr>
          <w:vertAlign w:val="superscript"/>
        </w:rPr>
        <w:t>st</w:t>
      </w:r>
      <w:r w:rsidR="009E2673">
        <w:t xml:space="preserve"> Floor</w:t>
      </w:r>
    </w:p>
    <w:p w14:paraId="5CE55155" w14:textId="77777777" w:rsidR="00DA248C" w:rsidRDefault="009E2673" w:rsidP="009E2673">
      <w:pPr>
        <w:ind w:left="1440"/>
      </w:pPr>
      <w:r>
        <w:lastRenderedPageBreak/>
        <w:t>Allentown, PA 18104</w:t>
      </w:r>
    </w:p>
    <w:p w14:paraId="05F74C6A" w14:textId="4A9B0D5F" w:rsidR="008D7468" w:rsidRDefault="006A04CB" w:rsidP="00224540">
      <w:pPr>
        <w:ind w:left="1440"/>
        <w:rPr>
          <w:u w:val="single"/>
        </w:rPr>
      </w:pPr>
      <w:r>
        <w:br/>
        <w:t xml:space="preserve">Email: </w:t>
      </w:r>
      <w:hyperlink r:id="rId20" w:history="1">
        <w:r w:rsidR="009E2673">
          <w:rPr>
            <w:rStyle w:val="Hyperlink"/>
          </w:rPr>
          <w:t>cleanenergycontracts@pplweb.com</w:t>
        </w:r>
      </w:hyperlink>
      <w:r>
        <w:rPr>
          <w:u w:val="single"/>
        </w:rPr>
        <w:t xml:space="preserve"> </w:t>
      </w:r>
      <w:r>
        <w:rPr>
          <w:u w:val="single"/>
        </w:rPr>
        <w:br/>
      </w:r>
      <w:r>
        <w:t xml:space="preserve">With a copy to: </w:t>
      </w:r>
      <w:hyperlink r:id="rId21" w:history="1">
        <w:r w:rsidR="009E2673" w:rsidRPr="00052BD1">
          <w:rPr>
            <w:rStyle w:val="Hyperlink"/>
          </w:rPr>
          <w:t>hdgonsalves@pplweb.com</w:t>
        </w:r>
      </w:hyperlink>
      <w:r w:rsidR="009E2673">
        <w:t xml:space="preserve"> </w:t>
      </w:r>
    </w:p>
    <w:p w14:paraId="7B3B3B45" w14:textId="77777777" w:rsidR="008D7468" w:rsidRDefault="008D7468">
      <w:pPr>
        <w:ind w:left="2520" w:hanging="1800"/>
      </w:pPr>
    </w:p>
    <w:p w14:paraId="2A5DD22F" w14:textId="77777777" w:rsidR="008D7468" w:rsidRDefault="006A04CB">
      <w:pPr>
        <w:keepNext/>
        <w:keepLines/>
        <w:rPr>
          <w:rFonts w:asciiTheme="minorHAnsi" w:hAnsiTheme="minorHAnsi" w:cstheme="minorHAnsi"/>
        </w:rPr>
      </w:pPr>
      <w:r>
        <w:rPr>
          <w:rFonts w:asciiTheme="minorHAnsi" w:hAnsiTheme="minorHAnsi" w:cstheme="minorHAnsi"/>
        </w:rPr>
        <w:t>With a copy to:</w:t>
      </w:r>
    </w:p>
    <w:p w14:paraId="6C552253" w14:textId="77777777" w:rsidR="008D7468" w:rsidRDefault="008D7468">
      <w:pPr>
        <w:keepNext/>
        <w:keepLines/>
        <w:rPr>
          <w:rFonts w:asciiTheme="minorHAnsi" w:hAnsiTheme="minorHAnsi" w:cstheme="minorHAnsi"/>
        </w:rPr>
      </w:pPr>
    </w:p>
    <w:p w14:paraId="7CB9A71E" w14:textId="38355C40" w:rsidR="008D7468" w:rsidRDefault="006A04CB" w:rsidP="6DB2E082">
      <w:pPr>
        <w:keepNext/>
        <w:keepLines/>
        <w:ind w:left="1440"/>
        <w:rPr>
          <w:rFonts w:asciiTheme="minorHAnsi" w:hAnsiTheme="minorHAnsi" w:cstheme="minorBidi"/>
        </w:rPr>
      </w:pPr>
      <w:r w:rsidRPr="6DB2E082">
        <w:rPr>
          <w:rFonts w:asciiTheme="minorHAnsi" w:hAnsiTheme="minorHAnsi" w:cstheme="minorBidi"/>
        </w:rPr>
        <w:t xml:space="preserve">Attn: </w:t>
      </w:r>
      <w:r w:rsidR="640D0090" w:rsidRPr="6DB2E082">
        <w:rPr>
          <w:rFonts w:asciiTheme="minorHAnsi" w:hAnsiTheme="minorHAnsi" w:cstheme="minorBidi"/>
        </w:rPr>
        <w:t xml:space="preserve">Deputy </w:t>
      </w:r>
      <w:r w:rsidR="009E2673" w:rsidRPr="6DB2E082">
        <w:rPr>
          <w:rFonts w:asciiTheme="minorHAnsi" w:hAnsiTheme="minorHAnsi" w:cstheme="minorBidi"/>
        </w:rPr>
        <w:t>General Counsel</w:t>
      </w:r>
      <w:r w:rsidR="0BDBF487" w:rsidRPr="6DB2E082">
        <w:rPr>
          <w:rFonts w:asciiTheme="minorHAnsi" w:hAnsiTheme="minorHAnsi" w:cstheme="minorBidi"/>
        </w:rPr>
        <w:t xml:space="preserve"> - Corporate</w:t>
      </w:r>
    </w:p>
    <w:p w14:paraId="794D13D8" w14:textId="7220DC1D" w:rsidR="008D7468" w:rsidRDefault="009E2673">
      <w:pPr>
        <w:ind w:left="1440"/>
        <w:rPr>
          <w:rFonts w:asciiTheme="minorHAnsi" w:hAnsiTheme="minorHAnsi" w:cstheme="minorHAnsi"/>
        </w:rPr>
      </w:pPr>
      <w:r>
        <w:rPr>
          <w:rFonts w:asciiTheme="minorHAnsi" w:hAnsiTheme="minorHAnsi" w:cstheme="minorHAnsi"/>
        </w:rPr>
        <w:t>PPL</w:t>
      </w:r>
    </w:p>
    <w:p w14:paraId="128AD630" w14:textId="0271BE6F" w:rsidR="009E2673" w:rsidRDefault="54E47A8D" w:rsidP="00E24506">
      <w:pPr>
        <w:spacing w:line="259" w:lineRule="auto"/>
        <w:ind w:left="1440"/>
        <w:rPr>
          <w:rFonts w:asciiTheme="minorHAnsi" w:hAnsiTheme="minorHAnsi" w:cstheme="minorBidi"/>
        </w:rPr>
      </w:pPr>
      <w:r w:rsidRPr="6DB2E082">
        <w:rPr>
          <w:rFonts w:asciiTheme="minorHAnsi" w:hAnsiTheme="minorHAnsi" w:cstheme="minorBidi"/>
        </w:rPr>
        <w:t>645 West Hamilton St</w:t>
      </w:r>
    </w:p>
    <w:p w14:paraId="00E9A221" w14:textId="4922F97E" w:rsidR="009E2673" w:rsidRDefault="0737C141" w:rsidP="00E24506">
      <w:pPr>
        <w:tabs>
          <w:tab w:val="left" w:pos="2520"/>
          <w:tab w:val="left" w:pos="4320"/>
        </w:tabs>
        <w:spacing w:line="259" w:lineRule="auto"/>
        <w:ind w:left="1440"/>
        <w:rPr>
          <w:rFonts w:asciiTheme="minorHAnsi" w:hAnsiTheme="minorHAnsi" w:cstheme="minorBidi"/>
        </w:rPr>
      </w:pPr>
      <w:r w:rsidRPr="6DB2E082">
        <w:rPr>
          <w:rFonts w:asciiTheme="minorHAnsi" w:hAnsiTheme="minorHAnsi" w:cstheme="minorBidi"/>
        </w:rPr>
        <w:t>Suite 701</w:t>
      </w:r>
    </w:p>
    <w:p w14:paraId="67A78973" w14:textId="04D30B1C" w:rsidR="009E2673" w:rsidRDefault="006A04CB" w:rsidP="00E24506">
      <w:pPr>
        <w:tabs>
          <w:tab w:val="left" w:pos="2520"/>
          <w:tab w:val="left" w:pos="4320"/>
        </w:tabs>
        <w:spacing w:line="259" w:lineRule="auto"/>
        <w:ind w:left="1440"/>
        <w:rPr>
          <w:rFonts w:asciiTheme="minorHAnsi" w:hAnsiTheme="minorHAnsi" w:cstheme="minorBidi"/>
        </w:rPr>
      </w:pPr>
      <w:r>
        <w:tab/>
      </w:r>
      <w:r w:rsidR="009E2673" w:rsidRPr="00E24506">
        <w:rPr>
          <w:rFonts w:asciiTheme="minorHAnsi" w:hAnsiTheme="minorHAnsi" w:cstheme="minorBidi"/>
        </w:rPr>
        <w:t>Allentown, PA 18101</w:t>
      </w:r>
    </w:p>
    <w:p w14:paraId="707ED4B5" w14:textId="6DB751E5" w:rsidR="6DB2E082" w:rsidRDefault="6DB2E082" w:rsidP="6DB2E082">
      <w:pPr>
        <w:pStyle w:val="BFirstInd"/>
        <w:tabs>
          <w:tab w:val="left" w:pos="2520"/>
          <w:tab w:val="left" w:pos="4320"/>
        </w:tabs>
      </w:pPr>
    </w:p>
    <w:p w14:paraId="1A7093F7" w14:textId="77777777" w:rsidR="008D7468" w:rsidRDefault="006A04CB">
      <w:pPr>
        <w:pStyle w:val="BFirstInd"/>
        <w:tabs>
          <w:tab w:val="left" w:pos="2520"/>
          <w:tab w:val="left" w:pos="4320"/>
        </w:tabs>
      </w:pPr>
      <w:r>
        <w:t>If to Seller:</w:t>
      </w:r>
      <w:r>
        <w:tab/>
        <w:t>[</w:t>
      </w:r>
      <w:r>
        <w:tab/>
        <w:t>]</w:t>
      </w:r>
    </w:p>
    <w:p w14:paraId="6BE9367B" w14:textId="77777777" w:rsidR="008D7468" w:rsidRDefault="006A04CB">
      <w:pPr>
        <w:pStyle w:val="BFirstInd"/>
        <w:tabs>
          <w:tab w:val="left" w:pos="2520"/>
          <w:tab w:val="left" w:pos="4320"/>
        </w:tabs>
      </w:pPr>
      <w:r>
        <w:t>With a copy to:</w:t>
      </w:r>
      <w:r>
        <w:tab/>
        <w:t>[</w:t>
      </w:r>
      <w:r>
        <w:tab/>
        <w:t>]</w:t>
      </w:r>
    </w:p>
    <w:p w14:paraId="6CDBFF06" w14:textId="77777777" w:rsidR="008D7468" w:rsidRDefault="006A04CB">
      <w:pPr>
        <w:pStyle w:val="Legal21"/>
      </w:pPr>
      <w:bookmarkStart w:id="75" w:name="_Toc177887441"/>
      <w:r>
        <w:t>WAIVER AND MODIFICATION</w:t>
      </w:r>
      <w:bookmarkEnd w:id="75"/>
    </w:p>
    <w:p w14:paraId="4ED36A36" w14:textId="77777777" w:rsidR="008D7468" w:rsidRDefault="006A04CB">
      <w:pPr>
        <w:pStyle w:val="BFirstInd"/>
      </w:pPr>
      <w: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PUC filing and/or approval.  If Buyer determines that any such approval or filing is required, then such amendment or waiver shall not become effective unless and until Regulatory Approval or such other approval is received, or such PUC filing is made and any requested PUC approval is received.</w:t>
      </w:r>
    </w:p>
    <w:p w14:paraId="1F9E7C26" w14:textId="77777777" w:rsidR="008D7468" w:rsidRDefault="006A04CB">
      <w:pPr>
        <w:pStyle w:val="Legal21"/>
      </w:pPr>
      <w:bookmarkStart w:id="76" w:name="_Toc177887442"/>
      <w:r>
        <w:t>INTERPRETATION</w:t>
      </w:r>
      <w:bookmarkEnd w:id="76"/>
    </w:p>
    <w:p w14:paraId="1E0D922D" w14:textId="77777777" w:rsidR="008D7468" w:rsidRDefault="006A04CB">
      <w:pPr>
        <w:pStyle w:val="Legal22"/>
      </w:pPr>
      <w:bookmarkStart w:id="77" w:name="_Toc177887443"/>
      <w:r>
        <w:rPr>
          <w:u w:val="single"/>
        </w:rPr>
        <w:t>Choice of Law</w:t>
      </w:r>
      <w:r>
        <w:t>.  Interpretation and performance of this Agreement shall be in accordance with, and shall be controlled by, the laws of the state of Rhode Island (without regard to its principles of conflicts of law).</w:t>
      </w:r>
      <w:bookmarkEnd w:id="77"/>
    </w:p>
    <w:p w14:paraId="09AD900F" w14:textId="77777777" w:rsidR="008D7468" w:rsidRDefault="006A04CB">
      <w:pPr>
        <w:pStyle w:val="Legal22"/>
      </w:pPr>
      <w:bookmarkStart w:id="78" w:name="_Toc177887444"/>
      <w:r>
        <w:rPr>
          <w:u w:val="single"/>
        </w:rPr>
        <w:t>Headings</w:t>
      </w:r>
      <w: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78"/>
    </w:p>
    <w:p w14:paraId="627C3C68" w14:textId="77777777" w:rsidR="008D7468" w:rsidRDefault="006A04CB">
      <w:pPr>
        <w:pStyle w:val="Legal22"/>
      </w:pPr>
      <w:bookmarkStart w:id="79" w:name="_Toc177887445"/>
      <w:r>
        <w:rPr>
          <w:u w:val="single"/>
        </w:rPr>
        <w:lastRenderedPageBreak/>
        <w:t>Forward Contract</w:t>
      </w:r>
      <w:r>
        <w:t>.  The Parties acknowledge and agree that this Agreement and the transactions contemplated hereunder are a “forward contract” within the meaning of the United States Bankruptcy Code.</w:t>
      </w:r>
      <w:bookmarkEnd w:id="79"/>
    </w:p>
    <w:p w14:paraId="53263B05" w14:textId="77777777" w:rsidR="008D7468" w:rsidRDefault="006A04CB">
      <w:pPr>
        <w:pStyle w:val="Legal22"/>
      </w:pPr>
      <w:bookmarkStart w:id="80" w:name="_Toc177887446"/>
      <w:r>
        <w:rPr>
          <w:u w:val="single"/>
        </w:rPr>
        <w:t>Standard of Review</w:t>
      </w:r>
      <w:r>
        <w:t xml:space="preserve">.  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FERC acting </w:t>
      </w:r>
      <w:r>
        <w:rPr>
          <w:i/>
        </w:rPr>
        <w:t>sua sponte</w:t>
      </w:r>
      <w:r>
        <w:t xml:space="preserve"> shall be the “public interest” standard of review set forth in </w:t>
      </w:r>
      <w:r>
        <w:rPr>
          <w:u w:val="single"/>
        </w:rPr>
        <w:t>United Gas Pipe Line Co. v. Mobile Gas Serv. Co.</w:t>
      </w:r>
      <w:r>
        <w:t xml:space="preserve">, 350 U.S. 332 (1956) and </w:t>
      </w:r>
      <w:r>
        <w:rPr>
          <w:u w:val="single"/>
        </w:rPr>
        <w:t>Federal Power Comm’n v. Sierra Pac. Power Co.</w:t>
      </w:r>
      <w: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bookmarkEnd w:id="80"/>
    </w:p>
    <w:p w14:paraId="7CB31577" w14:textId="033F7C05" w:rsidR="008D7468" w:rsidRDefault="006A04CB">
      <w:pPr>
        <w:pStyle w:val="Legal22"/>
      </w:pPr>
      <w:bookmarkStart w:id="81" w:name="_Toc177887447"/>
      <w:r>
        <w:rPr>
          <w:u w:val="single"/>
        </w:rPr>
        <w:t>Change in ISO-NE Rules and Practices</w:t>
      </w:r>
      <w: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the Adjusted Price, as applicable.</w:t>
      </w:r>
      <w:bookmarkEnd w:id="81"/>
    </w:p>
    <w:p w14:paraId="7D4B7096" w14:textId="77777777" w:rsidR="008D7468" w:rsidRDefault="006A04CB">
      <w:pPr>
        <w:pStyle w:val="Legal22"/>
      </w:pPr>
      <w:bookmarkStart w:id="82" w:name="_Toc177887448"/>
      <w:r>
        <w:rPr>
          <w:u w:val="single"/>
        </w:rPr>
        <w:t>Dodd Frank Act Representations</w:t>
      </w:r>
      <w:r>
        <w:t>.  The Parties agree that this Agreement (including all transactions reflected herein) is not a “swap” within the meaning of the Commodity Exchange Act and the rules, interpretations and other guidance of the Commodity Futures Trading Commission (“</w:t>
      </w:r>
      <w:r>
        <w:rPr>
          <w:b/>
          <w:u w:val="single"/>
        </w:rPr>
        <w:t>CFTC rules</w:t>
      </w:r>
      <w:r>
        <w:t>”), and that the primary intent of this Agreement is physical settlement (i.e., actual transfer of ownership) of the nonfinancial commodity and not solely to transfer price risk.  In reliance upon such agreement, each Party represents to the other that:</w:t>
      </w:r>
      <w:bookmarkEnd w:id="82"/>
    </w:p>
    <w:p w14:paraId="522B1C28" w14:textId="77777777" w:rsidR="008D7468" w:rsidRDefault="006A04CB">
      <w:pPr>
        <w:pStyle w:val="Legal23"/>
      </w:pPr>
      <w: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14:paraId="5AE41980" w14:textId="77777777" w:rsidR="008D7468" w:rsidRDefault="006A04CB">
      <w:pPr>
        <w:pStyle w:val="Legal23"/>
      </w:pPr>
      <w:r>
        <w:t>It is not registered or required to be registered under the CFTC rules as a swap dealer or a major swap participant;</w:t>
      </w:r>
    </w:p>
    <w:p w14:paraId="7BB31DB6" w14:textId="77777777" w:rsidR="008D7468" w:rsidRDefault="006A04CB">
      <w:pPr>
        <w:pStyle w:val="Legal23"/>
      </w:pPr>
      <w:r>
        <w:lastRenderedPageBreak/>
        <w:t>It has entered into this Agreement in connection with the conduct of its regular business and it has the capacity or ability to regularly make or take delivery of the commodity to be purchased and sold hereunder;</w:t>
      </w:r>
    </w:p>
    <w:p w14:paraId="2187C3A2" w14:textId="77777777" w:rsidR="008D7468" w:rsidRDefault="006A04CB">
      <w:pPr>
        <w:pStyle w:val="Legal23"/>
      </w:pPr>
      <w:r>
        <w:t>With respect to the commodity to be purchased and sold hereunder, it intends to make or take physical delivery of the commodity;</w:t>
      </w:r>
    </w:p>
    <w:p w14:paraId="7068E2B5" w14:textId="77777777" w:rsidR="008D7468" w:rsidRDefault="006A04CB">
      <w:pPr>
        <w:pStyle w:val="Legal23"/>
      </w:pPr>
      <w:r>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14:paraId="02CE3730" w14:textId="77777777" w:rsidR="008D7468" w:rsidRDefault="006A04CB">
      <w:pPr>
        <w:pStyle w:val="Legal23"/>
      </w:pPr>
      <w:r>
        <w:t>With respect to any embedded commodity option in this Agreement, such option is intended to be physically settled so that, if exercised, the option would result in the sale of the commodity to be purchased or sold hereunder for immediate or deferred shipment or delivery;</w:t>
      </w:r>
    </w:p>
    <w:p w14:paraId="3C27E29C" w14:textId="77777777" w:rsidR="008D7468" w:rsidRDefault="006A04CB">
      <w:pPr>
        <w:pStyle w:val="Legal23"/>
      </w:pPr>
      <w:r>
        <w:t>The commodity to be purchased and sold hereunder is a nonfinancial commodity, and is also an exempt commodity or an agricultural commodity, as such terms are defined and interpreted in the CFTC rules.</w:t>
      </w:r>
    </w:p>
    <w:p w14:paraId="612D6106" w14:textId="77777777" w:rsidR="008D7468" w:rsidRDefault="006A04CB">
      <w:pPr>
        <w:pStyle w:val="BBody"/>
      </w:pPr>
      <w:r>
        <w:t>To the extent that reporting of any transactions related to this Agreement is required by the CFTC rules, the Parties agree that Seller shall be responsible for such reporting (the “Reporting Party”).  The Reporting Party’s reporting obligations shall continue until the reporting obligation has expired or has been terminated in accordance with CFTC rules.  The Buyer, as the Party that is not undertaking the reporting obligations shall timely provide the Reporting Party all necessary information requested by the Reporting Party for it to comply with CFTC rules.</w:t>
      </w:r>
    </w:p>
    <w:p w14:paraId="24F018AB" w14:textId="77777777" w:rsidR="008D7468" w:rsidRDefault="006A04CB">
      <w:pPr>
        <w:pStyle w:val="Legal22"/>
      </w:pPr>
      <w:bookmarkStart w:id="83" w:name="_Toc177887449"/>
      <w:r>
        <w:rPr>
          <w:u w:val="single"/>
        </w:rPr>
        <w:t>Change in Law or Buyer’s Accounting Treatment, Subsequent Judicial or Regulatory Action</w:t>
      </w:r>
      <w:r>
        <w:t>.</w:t>
      </w:r>
      <w:bookmarkEnd w:id="83"/>
      <w:r>
        <w:t xml:space="preserve">  </w:t>
      </w:r>
    </w:p>
    <w:p w14:paraId="29EF2AC5" w14:textId="77777777" w:rsidR="008D7468" w:rsidRDefault="006A04CB">
      <w:pPr>
        <w:pStyle w:val="Legal23"/>
      </w:pPr>
      <w:r>
        <w:t>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amendment to this Agreement to avoid or mitigate such impacts.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the Seller otherwise agrees) alter:  (i) the purchase and sale obligations of the Parties pursuant to this Agreement, or (ii) the Price or the Adjusted Price, as applicable.</w:t>
      </w:r>
    </w:p>
    <w:p w14:paraId="57488874" w14:textId="77777777" w:rsidR="008D7468" w:rsidRDefault="006A04CB">
      <w:pPr>
        <w:pStyle w:val="Legal23"/>
      </w:pPr>
      <w:r>
        <w:t xml:space="preserve">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any of the </w:t>
      </w:r>
      <w:r>
        <w:lastRenderedPageBreak/>
        <w:t>statutes or regulations supporting this Agreement or the rights or obligations of the Parties hereunder, or orders of or actions of regulatory agencies (including the PUC) implementing such statutes or regulations, or this Agreement on its face or as applied, violates any Law (including the State or Federal Constitution) (an “</w:t>
      </w:r>
      <w:r>
        <w:rPr>
          <w:b/>
          <w:u w:val="single"/>
        </w:rPr>
        <w:t>Adverse Determination</w:t>
      </w:r>
      <w:r>
        <w:t>”), each Party shall have the right to suspend performance under this Agreement without liability.  Seller may deliver and sell Products to a third party during any period of time for which Buyer suspends payments or purchases under this Section.  Upon an Adverse Determination becoming final and non-appealable, this Agreement shall be rendered null and void.</w:t>
      </w:r>
    </w:p>
    <w:p w14:paraId="14A7AF86" w14:textId="42F259C7" w:rsidR="008D7468" w:rsidRDefault="00AA3C31">
      <w:pPr>
        <w:pStyle w:val="Legal23"/>
      </w:pPr>
      <w:r w:rsidRPr="00155082">
        <w:t xml:space="preserve">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recovery by Buyer of its costs incurred under this Agreement and remuneration equal to up to </w:t>
      </w:r>
      <w:r w:rsidRPr="00155082">
        <w:rPr>
          <w:u w:val="single"/>
        </w:rPr>
        <w:t>one</w:t>
      </w:r>
      <w:r w:rsidRPr="00155082">
        <w:t xml:space="preserve"> percent (</w:t>
      </w:r>
      <w:r w:rsidRPr="00155082">
        <w:rPr>
          <w:u w:val="single"/>
        </w:rPr>
        <w:t>1</w:t>
      </w:r>
      <w:r w:rsidRPr="00155082">
        <w:t>.0%), to the extent such remuneration is otherwise applicable, of Buyer’s actual annual payments under this Agreement is disallowed</w:t>
      </w:r>
      <w:r w:rsidR="006A04CB">
        <w:t xml:space="preserve">, Buyer shall have the right to suspend performance under this Agreement without liability.  Seller may deliver and sell Products to a third party during any period of time for which Buyer suspends payments or purchases under this Section.  Upon such a disallowance becoming final and non-appealable, this Agreement shall be rendered null and void. </w:t>
      </w:r>
    </w:p>
    <w:p w14:paraId="000551F2" w14:textId="77777777" w:rsidR="008D7468" w:rsidRDefault="006A04CB">
      <w:pPr>
        <w:pStyle w:val="Legal21"/>
      </w:pPr>
      <w:bookmarkStart w:id="84" w:name="_Toc177887450"/>
      <w:r>
        <w:t>COUNTERPARTS; FACSIMILE SIGNATURES</w:t>
      </w:r>
      <w:bookmarkEnd w:id="84"/>
    </w:p>
    <w:p w14:paraId="67254F1C" w14:textId="77777777" w:rsidR="008D7468" w:rsidRDefault="006A04CB">
      <w:pPr>
        <w:pStyle w:val="BFirstInd"/>
      </w:pPr>
      <w:r>
        <w:t>Any number of counterparts of this Agreement may be executed, and each shall have the same force and effect as an original.  Facsimile signatures hereon or on any notice or other instrument delivered under this Agreement shall have the same force and effect as original signatures.</w:t>
      </w:r>
    </w:p>
    <w:p w14:paraId="1D58C6BB" w14:textId="77777777" w:rsidR="008D7468" w:rsidRDefault="006A04CB">
      <w:pPr>
        <w:pStyle w:val="Legal21"/>
      </w:pPr>
      <w:bookmarkStart w:id="85" w:name="_Toc177887451"/>
      <w:r>
        <w:t>NO DUTY TO THIRD PARTIES</w:t>
      </w:r>
      <w:bookmarkEnd w:id="85"/>
    </w:p>
    <w:p w14:paraId="71CCC84D" w14:textId="77777777" w:rsidR="008D7468" w:rsidRDefault="006A04CB">
      <w:pPr>
        <w:pStyle w:val="BFirstInd"/>
      </w:pPr>
      <w:r>
        <w:t>Except as provided in any consent to assignment of this Agreement, nothing in this Agreement nor any action taken hereunder shall be construed to create any duty, liability or standard of care to any Person not a Party to this Agreement.</w:t>
      </w:r>
    </w:p>
    <w:p w14:paraId="582D200B" w14:textId="77777777" w:rsidR="008D7468" w:rsidRDefault="006A04CB">
      <w:pPr>
        <w:pStyle w:val="Legal21"/>
      </w:pPr>
      <w:bookmarkStart w:id="86" w:name="_Toc177887452"/>
      <w:r>
        <w:t>SEVERABILITY</w:t>
      </w:r>
      <w:bookmarkEnd w:id="86"/>
    </w:p>
    <w:p w14:paraId="56331964" w14:textId="77777777" w:rsidR="008D7468" w:rsidRDefault="006A04CB">
      <w:pPr>
        <w:pStyle w:val="BFirstInd"/>
      </w:pPr>
      <w:r>
        <w:t xml:space="preserve">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w:t>
      </w:r>
      <w:r>
        <w:lastRenderedPageBreak/>
        <w:t>Buyer also include, without limitation, the terms and conditions of Section 19.6 of this Agreement.</w:t>
      </w:r>
    </w:p>
    <w:p w14:paraId="0161F18A" w14:textId="77777777" w:rsidR="008D7468" w:rsidRDefault="006A04CB">
      <w:pPr>
        <w:pStyle w:val="Legal21"/>
      </w:pPr>
      <w:bookmarkStart w:id="87" w:name="_Toc177887453"/>
      <w:r>
        <w:t>INDEPENDENT CONTRACTOR</w:t>
      </w:r>
      <w:bookmarkEnd w:id="87"/>
    </w:p>
    <w:p w14:paraId="257BF74D" w14:textId="77777777" w:rsidR="008D7468" w:rsidRDefault="006A04CB">
      <w:pPr>
        <w:pStyle w:val="BFirstInd"/>
      </w:pPr>
      <w:r>
        <w:t>Nothing in this Agreement shall be construed as creating any relationship between Buyer and Seller other than that of Seller as independent contractor for the sale of Products, and Buyer 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p>
    <w:p w14:paraId="1FCB1958" w14:textId="77777777" w:rsidR="008D7468" w:rsidRDefault="006A04CB">
      <w:pPr>
        <w:pStyle w:val="Legal21"/>
      </w:pPr>
      <w:bookmarkStart w:id="88" w:name="_Toc177887454"/>
      <w:r>
        <w:t>ENTIRE AGREEMENT</w:t>
      </w:r>
      <w:bookmarkEnd w:id="88"/>
    </w:p>
    <w:p w14:paraId="4D98182D" w14:textId="77777777" w:rsidR="008D7468" w:rsidRDefault="006A04CB">
      <w:pPr>
        <w:pStyle w:val="BFirstInd"/>
      </w:pPr>
      <w:r>
        <w:t>This Agreement shall constitute the entire agreement and understanding between the Parties hereto and shall supersede all prior agreements and communications.</w:t>
      </w:r>
    </w:p>
    <w:p w14:paraId="5EE45851" w14:textId="77777777" w:rsidR="008D7468" w:rsidRDefault="006A04CB">
      <w:pPr>
        <w:pStyle w:val="BBody"/>
        <w:jc w:val="center"/>
      </w:pPr>
      <w:r>
        <w:t>[Signature page follows]</w:t>
      </w:r>
    </w:p>
    <w:p w14:paraId="791CF509" w14:textId="77777777" w:rsidR="008D7468" w:rsidRDefault="006A04CB">
      <w:r>
        <w:br w:type="page"/>
      </w:r>
    </w:p>
    <w:p w14:paraId="66F163C3" w14:textId="77777777" w:rsidR="008D7468" w:rsidRDefault="006A04CB">
      <w:pPr>
        <w:pStyle w:val="BFirstInd"/>
      </w:pPr>
      <w:r>
        <w:lastRenderedPageBreak/>
        <w:t>IN WITNESS WHEREOF, each of Buyer and Seller has caused this Agreement to be duly executed on its behalf as of the date first above written.</w:t>
      </w:r>
    </w:p>
    <w:p w14:paraId="558D15AB" w14:textId="77777777" w:rsidR="008D7468" w:rsidRDefault="006A04CB">
      <w:pPr>
        <w:pStyle w:val="BBody"/>
        <w:rPr>
          <w:b/>
        </w:rPr>
      </w:pPr>
      <w:r>
        <w:rPr>
          <w:b/>
        </w:rPr>
        <w:t>[Buyer]</w:t>
      </w:r>
    </w:p>
    <w:p w14:paraId="20851531" w14:textId="77777777" w:rsidR="008D7468" w:rsidRDefault="006A04CB">
      <w:pPr>
        <w:pStyle w:val="BBody"/>
        <w:tabs>
          <w:tab w:val="left" w:pos="720"/>
          <w:tab w:val="left" w:pos="4320"/>
        </w:tabs>
      </w:pPr>
      <w:r>
        <w:t>By:</w:t>
      </w:r>
      <w:r>
        <w:rPr>
          <w:u w:val="single"/>
        </w:rPr>
        <w:tab/>
      </w:r>
      <w:r>
        <w:rPr>
          <w:u w:val="single"/>
        </w:rPr>
        <w:tab/>
      </w:r>
      <w:r>
        <w:rPr>
          <w:u w:val="single"/>
        </w:rPr>
        <w:br/>
      </w:r>
      <w:r>
        <w:tab/>
        <w:t>Name:</w:t>
      </w:r>
      <w:r>
        <w:br/>
      </w:r>
      <w:r>
        <w:tab/>
        <w:t>Title:</w:t>
      </w:r>
    </w:p>
    <w:p w14:paraId="2C8ACB00" w14:textId="77777777" w:rsidR="008D7468" w:rsidRDefault="008D7468">
      <w:pPr>
        <w:pStyle w:val="BBody"/>
      </w:pPr>
    </w:p>
    <w:p w14:paraId="639A7C70" w14:textId="77777777" w:rsidR="008D7468" w:rsidRDefault="006A04CB">
      <w:pPr>
        <w:pStyle w:val="BBody"/>
        <w:rPr>
          <w:b/>
        </w:rPr>
      </w:pPr>
      <w:r>
        <w:rPr>
          <w:b/>
        </w:rPr>
        <w:t>[Seller]</w:t>
      </w:r>
    </w:p>
    <w:p w14:paraId="38A4D2CB" w14:textId="77777777" w:rsidR="008D7468" w:rsidRDefault="006A04CB">
      <w:pPr>
        <w:pStyle w:val="BBody"/>
        <w:tabs>
          <w:tab w:val="left" w:pos="720"/>
          <w:tab w:val="left" w:pos="4320"/>
        </w:tabs>
      </w:pPr>
      <w:r>
        <w:t>By:</w:t>
      </w:r>
      <w:r>
        <w:rPr>
          <w:u w:val="single"/>
        </w:rPr>
        <w:tab/>
      </w:r>
      <w:r>
        <w:rPr>
          <w:u w:val="single"/>
        </w:rPr>
        <w:tab/>
      </w:r>
      <w:r>
        <w:rPr>
          <w:u w:val="single"/>
        </w:rPr>
        <w:br/>
      </w:r>
      <w:r>
        <w:tab/>
        <w:t>Name:</w:t>
      </w:r>
      <w:r>
        <w:br/>
      </w:r>
      <w:r>
        <w:tab/>
        <w:t>Title:</w:t>
      </w:r>
    </w:p>
    <w:p w14:paraId="2637841F" w14:textId="77777777" w:rsidR="008D7468" w:rsidRDefault="008D7468"/>
    <w:p w14:paraId="3AD472F4" w14:textId="77777777" w:rsidR="008D7468" w:rsidRDefault="008D7468">
      <w:pPr>
        <w:sectPr w:rsidR="008D7468">
          <w:headerReference w:type="default" r:id="rId22"/>
          <w:footerReference w:type="even" r:id="rId23"/>
          <w:footerReference w:type="default" r:id="rId24"/>
          <w:headerReference w:type="first" r:id="rId25"/>
          <w:footerReference w:type="first" r:id="rId26"/>
          <w:pgSz w:w="12240" w:h="15840" w:code="1"/>
          <w:pgMar w:top="1440" w:right="1440" w:bottom="1440" w:left="1440" w:header="720" w:footer="720" w:gutter="0"/>
          <w:pgNumType w:start="1"/>
          <w:cols w:space="720"/>
          <w:titlePg/>
          <w:docGrid w:linePitch="360"/>
        </w:sectPr>
      </w:pPr>
    </w:p>
    <w:p w14:paraId="034ABE61" w14:textId="77777777" w:rsidR="008D7468" w:rsidRDefault="006A04CB">
      <w:pPr>
        <w:pStyle w:val="BBody"/>
        <w:jc w:val="center"/>
        <w:rPr>
          <w:b/>
        </w:rPr>
      </w:pPr>
      <w:r>
        <w:rPr>
          <w:b/>
        </w:rPr>
        <w:lastRenderedPageBreak/>
        <w:t>EXHIBIT A</w:t>
      </w:r>
    </w:p>
    <w:p w14:paraId="65764A81" w14:textId="77777777" w:rsidR="008D7468" w:rsidRDefault="006A04CB">
      <w:pPr>
        <w:pStyle w:val="BBody"/>
        <w:jc w:val="center"/>
      </w:pPr>
      <w:r>
        <w:t>DESCRIPTION OF FACILITY</w:t>
      </w:r>
    </w:p>
    <w:p w14:paraId="06152AB5" w14:textId="77777777" w:rsidR="008D7468" w:rsidRDefault="006A04CB">
      <w:pPr>
        <w:pStyle w:val="BBody"/>
      </w:pPr>
      <w:r>
        <w:rPr>
          <w:b/>
        </w:rPr>
        <w:t>Facility</w:t>
      </w:r>
      <w:r>
        <w:t>:  [Note to Bidder:  Describe fully, including the location (street address and county or if there is none, longitude and latitude), the technology, fuel type, Operational Limitations and criteria for substantial completion of the Facility as specified by Seller in its response to the RFP.  Operational Limitations should be agreed to by Buyer and should not affect the value of the Products Delivered to Buyer.]</w:t>
      </w:r>
    </w:p>
    <w:p w14:paraId="75142530" w14:textId="3FBA4AF9" w:rsidR="008D7468" w:rsidRPr="002575B2" w:rsidRDefault="002575B2">
      <w:pPr>
        <w:pStyle w:val="BBody"/>
      </w:pPr>
      <w:r>
        <w:rPr>
          <w:b/>
          <w:bCs/>
        </w:rPr>
        <w:t xml:space="preserve">Map: </w:t>
      </w:r>
      <w:r>
        <w:t>[Note to Bidder: provide a map, detailing the project site, transmission and interconnection facilities, and all major equipment, and identifying all property rights.]</w:t>
      </w:r>
    </w:p>
    <w:p w14:paraId="20E38E90" w14:textId="77777777" w:rsidR="008D7468" w:rsidRDefault="006A04CB">
      <w:pPr>
        <w:pStyle w:val="BBody"/>
      </w:pPr>
      <w:r>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14:paraId="54E0E1FC" w14:textId="77777777" w:rsidR="008D7468" w:rsidRDefault="006A04CB">
      <w:pPr>
        <w:pStyle w:val="BBody"/>
      </w:pPr>
      <w:r>
        <w:t>ISO-NE PTF Node:  ____________________________________________</w:t>
      </w:r>
    </w:p>
    <w:p w14:paraId="524A58D0" w14:textId="77777777" w:rsidR="008D7468" w:rsidRDefault="008D7468">
      <w:pPr>
        <w:pStyle w:val="BBody"/>
      </w:pPr>
    </w:p>
    <w:p w14:paraId="093DFC5B" w14:textId="39435560" w:rsidR="008D7468" w:rsidRDefault="006A04CB">
      <w:pPr>
        <w:pStyle w:val="BBody"/>
        <w:rPr>
          <w:b/>
          <w:i/>
        </w:rPr>
      </w:pPr>
      <w:r>
        <w:rPr>
          <w:b/>
        </w:rPr>
        <w:t>Proposed Facility Size</w:t>
      </w:r>
      <w:r>
        <w:t xml:space="preserve">: (Nameplate capacity of the Facility as provided with bid, expressed in MWs [AC]) </w:t>
      </w:r>
    </w:p>
    <w:p w14:paraId="2A06EBE7" w14:textId="77777777" w:rsidR="008D7468" w:rsidRDefault="008D7468"/>
    <w:p w14:paraId="6694C346" w14:textId="77777777" w:rsidR="008D7468" w:rsidRDefault="008D7468">
      <w:pPr>
        <w:sectPr w:rsidR="008D7468">
          <w:footerReference w:type="even" r:id="rId27"/>
          <w:footerReference w:type="default" r:id="rId28"/>
          <w:headerReference w:type="first" r:id="rId29"/>
          <w:footerReference w:type="first" r:id="rId30"/>
          <w:pgSz w:w="12240" w:h="15840"/>
          <w:pgMar w:top="1440" w:right="1440" w:bottom="1440" w:left="1440" w:header="720" w:footer="720" w:gutter="0"/>
          <w:cols w:space="720"/>
          <w:titlePg/>
          <w:docGrid w:linePitch="360"/>
        </w:sectPr>
      </w:pPr>
    </w:p>
    <w:p w14:paraId="741443C5" w14:textId="77777777" w:rsidR="008D7468" w:rsidRDefault="006A04CB">
      <w:pPr>
        <w:pStyle w:val="BBody"/>
        <w:jc w:val="center"/>
        <w:rPr>
          <w:b/>
        </w:rPr>
      </w:pPr>
      <w:r>
        <w:rPr>
          <w:b/>
        </w:rPr>
        <w:lastRenderedPageBreak/>
        <w:t>EXHIBIT B</w:t>
      </w:r>
    </w:p>
    <w:p w14:paraId="4878D99F" w14:textId="77777777" w:rsidR="008D7468" w:rsidRDefault="006A04CB">
      <w:pPr>
        <w:pStyle w:val="BBody"/>
        <w:jc w:val="center"/>
      </w:pPr>
      <w:r>
        <w:t>SELLER’S CRITICAL MILESTONES</w:t>
      </w:r>
    </w:p>
    <w:p w14:paraId="5F4188BE" w14:textId="77777777" w:rsidR="008D7468" w:rsidRDefault="006A04CB">
      <w:pPr>
        <w:pStyle w:val="BBody"/>
      </w:pPr>
      <w:r>
        <w:t>[To be prepared to conform with the Critical Milestones referenced in Section 3.1]</w:t>
      </w:r>
    </w:p>
    <w:p w14:paraId="7027D503" w14:textId="77777777" w:rsidR="008D7468" w:rsidRDefault="008D7468"/>
    <w:p w14:paraId="4323B4D3" w14:textId="77777777" w:rsidR="008D7468" w:rsidRDefault="008D7468">
      <w:pPr>
        <w:sectPr w:rsidR="008D7468">
          <w:footerReference w:type="even" r:id="rId31"/>
          <w:footerReference w:type="default" r:id="rId32"/>
          <w:headerReference w:type="first" r:id="rId33"/>
          <w:footerReference w:type="first" r:id="rId34"/>
          <w:pgSz w:w="12240" w:h="15840"/>
          <w:pgMar w:top="1440" w:right="1440" w:bottom="1440" w:left="1440" w:header="720" w:footer="720" w:gutter="0"/>
          <w:cols w:space="720"/>
          <w:titlePg/>
          <w:docGrid w:linePitch="360"/>
        </w:sectPr>
      </w:pPr>
    </w:p>
    <w:p w14:paraId="4BDCC94F" w14:textId="77777777" w:rsidR="008D7468" w:rsidRDefault="006A04CB">
      <w:pPr>
        <w:pStyle w:val="BBody"/>
        <w:jc w:val="center"/>
        <w:rPr>
          <w:b/>
        </w:rPr>
      </w:pPr>
      <w:r>
        <w:rPr>
          <w:b/>
        </w:rPr>
        <w:lastRenderedPageBreak/>
        <w:t>EXHIBIT C</w:t>
      </w:r>
    </w:p>
    <w:p w14:paraId="7023C08D" w14:textId="77777777" w:rsidR="008D7468" w:rsidRDefault="006A04CB">
      <w:pPr>
        <w:pStyle w:val="BBody"/>
        <w:jc w:val="center"/>
      </w:pPr>
      <w:r>
        <w:t>FORM OF PROGRESS REPORT</w:t>
      </w:r>
    </w:p>
    <w:p w14:paraId="269ECDCC" w14:textId="77777777" w:rsidR="008D7468" w:rsidRDefault="008D7468">
      <w:pPr>
        <w:pStyle w:val="BBody"/>
      </w:pPr>
    </w:p>
    <w:p w14:paraId="3549C63B" w14:textId="77777777" w:rsidR="008D7468" w:rsidRDefault="006A04CB">
      <w:pPr>
        <w:pStyle w:val="BBody"/>
      </w:pPr>
      <w:r>
        <w:t>For the Quarter Ending:__________________</w:t>
      </w:r>
    </w:p>
    <w:p w14:paraId="6A4684F8" w14:textId="77777777" w:rsidR="008D7468" w:rsidRDefault="006A04CB">
      <w:pPr>
        <w:pStyle w:val="BBody"/>
      </w:pPr>
      <w:r>
        <w:t>Milestones Achieved:</w:t>
      </w:r>
    </w:p>
    <w:p w14:paraId="2E681F7F" w14:textId="77777777" w:rsidR="008D7468" w:rsidRDefault="006A04CB">
      <w:pPr>
        <w:pStyle w:val="BBody"/>
      </w:pPr>
      <w:r>
        <w:t>Milestones Pending:</w:t>
      </w:r>
    </w:p>
    <w:p w14:paraId="6B8D1936" w14:textId="77777777" w:rsidR="008D7468" w:rsidRDefault="006A04CB">
      <w:pPr>
        <w:pStyle w:val="BBody"/>
      </w:pPr>
      <w:r>
        <w:t>Status of Progress toward achievement of Milestones during the quarter:</w:t>
      </w:r>
    </w:p>
    <w:p w14:paraId="1F0D10CC" w14:textId="77777777" w:rsidR="008D7468" w:rsidRDefault="008D7468">
      <w:pPr>
        <w:pStyle w:val="BBody"/>
      </w:pPr>
    </w:p>
    <w:p w14:paraId="534A3667" w14:textId="77777777" w:rsidR="008D7468" w:rsidRDefault="006A04CB">
      <w:pPr>
        <w:pStyle w:val="BBody"/>
      </w:pPr>
      <w:r>
        <w:t>Status of permitting and Permits obtained during the quarter:</w:t>
      </w:r>
    </w:p>
    <w:p w14:paraId="6115F485" w14:textId="77777777" w:rsidR="008D7468" w:rsidRDefault="008D7468">
      <w:pPr>
        <w:pStyle w:val="BBody"/>
      </w:pPr>
    </w:p>
    <w:p w14:paraId="225269C3" w14:textId="77777777" w:rsidR="008D7468" w:rsidRDefault="006A04CB">
      <w:pPr>
        <w:pStyle w:val="BBody"/>
      </w:pPr>
      <w:r>
        <w:t>Status of Financing for Facility:</w:t>
      </w:r>
    </w:p>
    <w:p w14:paraId="4EB01057" w14:textId="77777777" w:rsidR="008D7468" w:rsidRDefault="006A04CB">
      <w:pPr>
        <w:pStyle w:val="BBody"/>
      </w:pPr>
      <w:r>
        <w:t>Current projection for Financial Closing Date:</w:t>
      </w:r>
    </w:p>
    <w:p w14:paraId="536FC3C7" w14:textId="77777777" w:rsidR="008D7468" w:rsidRDefault="006A04CB">
      <w:pPr>
        <w:pStyle w:val="BBody"/>
      </w:pPr>
      <w:r>
        <w:t>Events expected to result in delays in achievement of any Milestones:</w:t>
      </w:r>
    </w:p>
    <w:p w14:paraId="01B691E6" w14:textId="77777777" w:rsidR="008D7468" w:rsidRDefault="008D7468">
      <w:pPr>
        <w:pStyle w:val="BBody"/>
      </w:pPr>
    </w:p>
    <w:p w14:paraId="5407C78C" w14:textId="77777777" w:rsidR="008D7468" w:rsidRDefault="006A04CB">
      <w:pPr>
        <w:pStyle w:val="BBody"/>
      </w:pPr>
      <w:r>
        <w:t>Critical Milestones not yet achieved and projected date for achievement:</w:t>
      </w:r>
    </w:p>
    <w:p w14:paraId="497F1908" w14:textId="77777777" w:rsidR="008D7468" w:rsidRDefault="008D7468">
      <w:pPr>
        <w:pStyle w:val="BBody"/>
      </w:pPr>
    </w:p>
    <w:p w14:paraId="2BF02A37" w14:textId="77777777" w:rsidR="008D7468" w:rsidRDefault="006A04CB">
      <w:pPr>
        <w:pStyle w:val="BBody"/>
      </w:pPr>
      <w:r>
        <w:t>Current projection for Commercial Operation Date:</w:t>
      </w:r>
    </w:p>
    <w:p w14:paraId="37903F72" w14:textId="77777777" w:rsidR="008D7468" w:rsidRDefault="008D7468"/>
    <w:p w14:paraId="33DECC7C" w14:textId="77777777" w:rsidR="008D7468" w:rsidRDefault="008D7468">
      <w:pPr>
        <w:sectPr w:rsidR="008D7468">
          <w:footerReference w:type="even" r:id="rId35"/>
          <w:footerReference w:type="default" r:id="rId36"/>
          <w:headerReference w:type="first" r:id="rId37"/>
          <w:footerReference w:type="first" r:id="rId38"/>
          <w:pgSz w:w="12240" w:h="15840"/>
          <w:pgMar w:top="1440" w:right="1440" w:bottom="1440" w:left="1440" w:header="720" w:footer="720" w:gutter="0"/>
          <w:cols w:space="720"/>
          <w:titlePg/>
          <w:docGrid w:linePitch="360"/>
        </w:sectPr>
      </w:pPr>
    </w:p>
    <w:p w14:paraId="0557833F" w14:textId="77777777" w:rsidR="008D7468" w:rsidRDefault="006A04CB">
      <w:pPr>
        <w:pStyle w:val="BBody"/>
        <w:jc w:val="center"/>
        <w:rPr>
          <w:b/>
        </w:rPr>
      </w:pPr>
      <w:r>
        <w:rPr>
          <w:b/>
        </w:rPr>
        <w:lastRenderedPageBreak/>
        <w:t>EXHIBIT D</w:t>
      </w:r>
    </w:p>
    <w:p w14:paraId="0952C555" w14:textId="77777777" w:rsidR="008D7468" w:rsidRDefault="006A04CB">
      <w:pPr>
        <w:pStyle w:val="BBody"/>
        <w:jc w:val="center"/>
      </w:pPr>
      <w:r>
        <w:t>PRODUCTS AND PRICING</w:t>
      </w:r>
    </w:p>
    <w:p w14:paraId="4768FF42" w14:textId="77777777" w:rsidR="008D7468" w:rsidRDefault="006A04CB">
      <w:pPr>
        <w:pStyle w:val="BFirstInd"/>
      </w:pPr>
      <w:r>
        <w:t>1.</w:t>
      </w:r>
      <w:r>
        <w:tab/>
      </w:r>
      <w:r>
        <w:rPr>
          <w:u w:val="single"/>
        </w:rPr>
        <w:t>Price for Buyer’s Percentage Entitlement of Products up to the Contract Maximum Amount</w:t>
      </w:r>
      <w:r>
        <w:t>.  The Price for the Buyer’s Percentage Entitlement of Delivered Products up to the Contract Maximum Amount in nominal dollars shall be as follow:</w:t>
      </w:r>
    </w:p>
    <w:p w14:paraId="2215555B" w14:textId="77777777" w:rsidR="008D7468" w:rsidRDefault="006A04CB">
      <w:pPr>
        <w:pStyle w:val="BFirstInd"/>
        <w:rPr>
          <w:b/>
          <w:i/>
        </w:rPr>
      </w:pPr>
      <w:r>
        <w:t>(a)</w:t>
      </w:r>
      <w:r>
        <w:tab/>
      </w:r>
      <w:r>
        <w:rPr>
          <w:u w:val="single"/>
        </w:rPr>
        <w:t>Product Price</w:t>
      </w:r>
      <w:r>
        <w:t xml:space="preserve"> - Commencing on the Commercial Operation Date, the Price per MWH for the Products shall be equal to [$__] per MWh.  The Price per MWh for each billing period shall be allocated between Energy and RECs as follows:</w:t>
      </w:r>
    </w:p>
    <w:p w14:paraId="27783763" w14:textId="7743E8ED" w:rsidR="008D7468" w:rsidRDefault="006A04CB">
      <w:pPr>
        <w:pStyle w:val="BIndent3"/>
        <w:ind w:left="1440"/>
      </w:pPr>
      <w:r>
        <w:t>(i)</w:t>
      </w:r>
      <w:r>
        <w:tab/>
      </w:r>
      <w:bookmarkStart w:id="89" w:name="_Hlk178236612"/>
      <w:r>
        <w:t>Energy</w:t>
      </w:r>
      <w:r>
        <w:tab/>
        <w:t>=</w:t>
      </w:r>
      <w:r>
        <w:tab/>
        <w:t xml:space="preserve">The $/MWh price of Energy for the applicable month shall be equal to the weighted average of the Real-Time or Day Ahead Locational Marginal Price (as applicable consistent with Section 4.2(s)) in that month (also on a $/MWh basis) for the Node </w:t>
      </w:r>
      <w:r w:rsidRPr="00D569FF">
        <w:t>on</w:t>
      </w:r>
      <w:r>
        <w:t xml:space="preserve"> the Pool Transmission Facilities that is the Delivery Point. </w:t>
      </w:r>
    </w:p>
    <w:bookmarkEnd w:id="89"/>
    <w:p w14:paraId="49F194B3" w14:textId="77777777" w:rsidR="008D7468" w:rsidRDefault="006A04CB">
      <w:pPr>
        <w:pStyle w:val="BIndent3"/>
        <w:ind w:left="1440"/>
      </w:pPr>
      <w:r>
        <w:t>(ii)</w:t>
      </w:r>
      <w:r>
        <w:tab/>
        <w:t>RECs  =</w:t>
      </w:r>
      <w:r>
        <w:tab/>
        <w:t>The Price less the Energy allocation determined above for the applicable billing period, expressed in $/MWh.</w:t>
      </w:r>
    </w:p>
    <w:p w14:paraId="53E278A8" w14:textId="77777777" w:rsidR="008D7468" w:rsidRDefault="006A04CB">
      <w:pPr>
        <w:pStyle w:val="BBody"/>
      </w:pPr>
      <w:r>
        <w:t>[</w:t>
      </w:r>
      <w:r>
        <w:tab/>
        <w:t xml:space="preserve">(b) </w:t>
      </w:r>
      <w:r>
        <w:tab/>
        <w:t>The Adjusted Price for Energy shall be equal to [$__] per MWh.]</w:t>
      </w:r>
    </w:p>
    <w:p w14:paraId="323BB8DF" w14:textId="65673E4C" w:rsidR="008D7468" w:rsidRDefault="006A04CB">
      <w:pPr>
        <w:pStyle w:val="BBody"/>
      </w:pPr>
      <w:r>
        <w:t>If the market price at the Delivery Point in the Real-Time or Day-Ahead markets, as applicable, for Energy Delivered by Seller is negative in any hour, the payment to Seller for deliveries of Energy shall be reduced by the difference between the absolute value of the hourly LMP at the Delivery Point and $0.00 per MWh for that Energy for each such hour.  Each monthly invoice shall reflect a reduction for all hours in the applicable month in which the LMP for the Energy at the Delivery Point is less than $0.00 per MWh.</w:t>
      </w:r>
    </w:p>
    <w:p w14:paraId="383015CF" w14:textId="77777777" w:rsidR="008D7468" w:rsidRDefault="006A04CB">
      <w:pPr>
        <w:pStyle w:val="BBody"/>
      </w:pPr>
      <w:r>
        <w:t>Examples.  If delivered Energy equals 1 MWh and Price equals $50.00/MWh:</w:t>
      </w:r>
    </w:p>
    <w:p w14:paraId="27C17507" w14:textId="77777777" w:rsidR="008D7468" w:rsidRDefault="006A04CB">
      <w:pPr>
        <w:pStyle w:val="BBody"/>
      </w:pPr>
      <w:r>
        <w:t>LMP at the Delivery Point equals (or is greater than) $0.00/MWh</w:t>
      </w:r>
      <w:r>
        <w:br/>
        <w:t>Buyer payment of Price to Seller</w:t>
      </w:r>
      <w:r>
        <w:tab/>
      </w:r>
      <w:r>
        <w:tab/>
        <w:t>$50.00</w:t>
      </w:r>
      <w:r>
        <w:br/>
        <w:t>Seller credit/reimbursement for negative LMP to Buyer</w:t>
      </w:r>
      <w:r>
        <w:tab/>
        <w:t xml:space="preserve">  $0.00</w:t>
      </w:r>
      <w:r>
        <w:br/>
        <w:t>Net Result:  Buyer pays Seller $50 for that hour</w:t>
      </w:r>
    </w:p>
    <w:p w14:paraId="43B34451" w14:textId="77777777" w:rsidR="008D7468" w:rsidRDefault="006A04CB">
      <w:pPr>
        <w:pStyle w:val="BBody"/>
      </w:pPr>
      <w:r>
        <w:t>LMP at the Delivery Point equals -$150.00/MWh</w:t>
      </w:r>
      <w:r>
        <w:br/>
        <w:t>Buyer payment of Price to Seller</w:t>
      </w:r>
      <w:r>
        <w:tab/>
      </w:r>
      <w:r>
        <w:tab/>
        <w:t xml:space="preserve">  $50.00</w:t>
      </w:r>
      <w:r>
        <w:br/>
        <w:t>Seller credit/reimbursement for negative LMP to Buyer</w:t>
      </w:r>
      <w:r>
        <w:tab/>
        <w:t>$150.00</w:t>
      </w:r>
      <w:r>
        <w:br/>
        <w:t>Net Result:  Seller credits or reimburses Buyer $100 for that hour</w:t>
      </w:r>
    </w:p>
    <w:p w14:paraId="4F50A8CC" w14:textId="77777777" w:rsidR="008D7468" w:rsidRDefault="008D7468">
      <w:pPr>
        <w:pStyle w:val="BBody"/>
      </w:pPr>
    </w:p>
    <w:p w14:paraId="64687DFD" w14:textId="77777777" w:rsidR="008D7468" w:rsidRDefault="008D7468"/>
    <w:p w14:paraId="17B6319F" w14:textId="77777777" w:rsidR="008D7468" w:rsidRDefault="008D7468">
      <w:pPr>
        <w:sectPr w:rsidR="008D7468">
          <w:headerReference w:type="default" r:id="rId39"/>
          <w:footerReference w:type="even" r:id="rId40"/>
          <w:footerReference w:type="default" r:id="rId41"/>
          <w:headerReference w:type="first" r:id="rId42"/>
          <w:footerReference w:type="first" r:id="rId43"/>
          <w:pgSz w:w="12240" w:h="15840"/>
          <w:pgMar w:top="1440" w:right="1440" w:bottom="1440" w:left="1440" w:header="720" w:footer="720" w:gutter="0"/>
          <w:cols w:space="720"/>
          <w:titlePg/>
          <w:docGrid w:linePitch="360"/>
        </w:sectPr>
      </w:pPr>
    </w:p>
    <w:p w14:paraId="439A6B04" w14:textId="77777777" w:rsidR="008D7468" w:rsidRDefault="006A04CB">
      <w:pPr>
        <w:pStyle w:val="BBody"/>
        <w:jc w:val="center"/>
        <w:rPr>
          <w:b/>
        </w:rPr>
      </w:pPr>
      <w:r>
        <w:rPr>
          <w:b/>
        </w:rPr>
        <w:lastRenderedPageBreak/>
        <w:t>EXHIBIT E</w:t>
      </w:r>
    </w:p>
    <w:p w14:paraId="16085285" w14:textId="77777777" w:rsidR="008D7468" w:rsidRDefault="006A04CB">
      <w:pPr>
        <w:pStyle w:val="BBody"/>
        <w:jc w:val="center"/>
      </w:pPr>
      <w:r>
        <w:t>RELATED TRANSMISSION FACILITIES</w:t>
      </w:r>
    </w:p>
    <w:p w14:paraId="58527887" w14:textId="77777777" w:rsidR="008D7468" w:rsidRDefault="006A04CB">
      <w:r>
        <w:br w:type="page"/>
      </w:r>
    </w:p>
    <w:p w14:paraId="6EE6C66E" w14:textId="77777777" w:rsidR="008D7468" w:rsidRDefault="006A04CB">
      <w:pPr>
        <w:jc w:val="center"/>
        <w:rPr>
          <w:b/>
        </w:rPr>
      </w:pPr>
      <w:r>
        <w:rPr>
          <w:b/>
        </w:rPr>
        <w:lastRenderedPageBreak/>
        <w:t>EXHIBIT F</w:t>
      </w:r>
    </w:p>
    <w:p w14:paraId="26575FAD" w14:textId="77777777" w:rsidR="008D7468" w:rsidRDefault="008D7468">
      <w:pPr>
        <w:jc w:val="center"/>
        <w:rPr>
          <w:b/>
        </w:rPr>
      </w:pPr>
    </w:p>
    <w:p w14:paraId="00FE311D" w14:textId="77777777" w:rsidR="008D7468" w:rsidRDefault="006A04CB">
      <w:pPr>
        <w:spacing w:line="276" w:lineRule="auto"/>
        <w:jc w:val="center"/>
        <w:rPr>
          <w:b/>
          <w:sz w:val="28"/>
        </w:rPr>
      </w:pPr>
      <w:r>
        <w:rPr>
          <w:b/>
          <w:sz w:val="28"/>
        </w:rPr>
        <w:t xml:space="preserve">Schedule of Clean Energy </w:t>
      </w:r>
    </w:p>
    <w:p w14:paraId="32AEE108" w14:textId="77777777" w:rsidR="008D7468" w:rsidRDefault="006A04CB">
      <w:pPr>
        <w:spacing w:line="276" w:lineRule="auto"/>
        <w:jc w:val="center"/>
        <w:rPr>
          <w:b/>
          <w:sz w:val="28"/>
        </w:rPr>
      </w:pPr>
      <w:r>
        <w:rPr>
          <w:b/>
          <w:sz w:val="28"/>
        </w:rPr>
        <w:t>to be Delivered from the Facility</w:t>
      </w:r>
    </w:p>
    <w:p w14:paraId="79FBABEC" w14:textId="77777777" w:rsidR="008D7468" w:rsidRDefault="008D7468">
      <w:pPr>
        <w:jc w:val="center"/>
        <w:rPr>
          <w:b/>
          <w:sz w:val="28"/>
        </w:rPr>
      </w:pPr>
    </w:p>
    <w:p w14:paraId="46FF7508" w14:textId="77777777" w:rsidR="008D7468" w:rsidRDefault="006A04CB">
      <w:pPr>
        <w:rPr>
          <w:i/>
        </w:rPr>
      </w:pPr>
      <w:r>
        <w:rPr>
          <w:i/>
        </w:rPr>
        <w:t>Instructions to Bidders:</w:t>
      </w:r>
    </w:p>
    <w:p w14:paraId="5139928A" w14:textId="77777777" w:rsidR="008D7468" w:rsidRDefault="008D7468"/>
    <w:p w14:paraId="28B7A1C9" w14:textId="77777777" w:rsidR="008D7468" w:rsidRDefault="006A04CB">
      <w:r>
        <w:t xml:space="preserve">A table should be provided for Energy and RECs to be produced by the Newly Developed Renewable Energy Resource (intermittent non-firm generation) that represents expected deliveries for each hour of the Services Term. </w:t>
      </w:r>
    </w:p>
    <w:p w14:paraId="27C653D8" w14:textId="77777777" w:rsidR="008D7468" w:rsidRDefault="008D7468"/>
    <w:p w14:paraId="7E8B454E" w14:textId="77777777" w:rsidR="008D7468" w:rsidRDefault="008D7468">
      <w:pPr>
        <w:pStyle w:val="BBody"/>
      </w:pPr>
    </w:p>
    <w:p w14:paraId="67B0CFA9" w14:textId="77777777" w:rsidR="0093489F" w:rsidRDefault="0093489F">
      <w:pPr>
        <w:pStyle w:val="BBody"/>
      </w:pPr>
    </w:p>
    <w:p w14:paraId="6566E217" w14:textId="77777777" w:rsidR="0093489F" w:rsidRDefault="0093489F">
      <w:pPr>
        <w:pStyle w:val="BBody"/>
      </w:pPr>
    </w:p>
    <w:p w14:paraId="2F7BD02E" w14:textId="77777777" w:rsidR="0093489F" w:rsidRDefault="0093489F">
      <w:pPr>
        <w:pStyle w:val="BBody"/>
      </w:pPr>
    </w:p>
    <w:p w14:paraId="2959DE2E" w14:textId="77777777" w:rsidR="0093489F" w:rsidRDefault="0093489F">
      <w:pPr>
        <w:pStyle w:val="BBody"/>
      </w:pPr>
    </w:p>
    <w:p w14:paraId="6695A4AB" w14:textId="77777777" w:rsidR="0093489F" w:rsidRDefault="0093489F">
      <w:pPr>
        <w:pStyle w:val="BBody"/>
      </w:pPr>
    </w:p>
    <w:p w14:paraId="08E14A7D" w14:textId="77777777" w:rsidR="0093489F" w:rsidRDefault="0093489F">
      <w:pPr>
        <w:pStyle w:val="BBody"/>
      </w:pPr>
    </w:p>
    <w:p w14:paraId="225FE7A4" w14:textId="77777777" w:rsidR="0093489F" w:rsidRDefault="0093489F">
      <w:pPr>
        <w:pStyle w:val="BBody"/>
      </w:pPr>
    </w:p>
    <w:p w14:paraId="5BC56139" w14:textId="77777777" w:rsidR="0093489F" w:rsidRDefault="0093489F">
      <w:pPr>
        <w:pStyle w:val="BBody"/>
      </w:pPr>
    </w:p>
    <w:p w14:paraId="43F8F9A0" w14:textId="77777777" w:rsidR="0093489F" w:rsidRDefault="0093489F">
      <w:pPr>
        <w:pStyle w:val="BBody"/>
      </w:pPr>
    </w:p>
    <w:p w14:paraId="3334981E" w14:textId="77777777" w:rsidR="0093489F" w:rsidRDefault="0093489F">
      <w:pPr>
        <w:pStyle w:val="BBody"/>
      </w:pPr>
    </w:p>
    <w:p w14:paraId="002F1353" w14:textId="77777777" w:rsidR="0093489F" w:rsidRDefault="0093489F">
      <w:pPr>
        <w:pStyle w:val="BBody"/>
      </w:pPr>
    </w:p>
    <w:p w14:paraId="39356169" w14:textId="77777777" w:rsidR="0093489F" w:rsidRDefault="0093489F">
      <w:pPr>
        <w:pStyle w:val="BBody"/>
      </w:pPr>
    </w:p>
    <w:p w14:paraId="5D011B36" w14:textId="77777777" w:rsidR="0093489F" w:rsidRDefault="0093489F">
      <w:pPr>
        <w:pStyle w:val="BBody"/>
      </w:pPr>
    </w:p>
    <w:p w14:paraId="15A8DA2F" w14:textId="77777777" w:rsidR="0093489F" w:rsidRDefault="0093489F">
      <w:pPr>
        <w:pStyle w:val="BBody"/>
      </w:pPr>
    </w:p>
    <w:p w14:paraId="58489764" w14:textId="77777777" w:rsidR="0093489F" w:rsidRDefault="0093489F">
      <w:pPr>
        <w:pStyle w:val="BBody"/>
      </w:pPr>
    </w:p>
    <w:p w14:paraId="004AA050" w14:textId="77777777" w:rsidR="0093489F" w:rsidRDefault="0093489F">
      <w:pPr>
        <w:pStyle w:val="BBody"/>
      </w:pPr>
    </w:p>
    <w:p w14:paraId="02B2EAA5" w14:textId="77777777" w:rsidR="0093489F" w:rsidRDefault="0093489F">
      <w:pPr>
        <w:pStyle w:val="BBody"/>
      </w:pPr>
    </w:p>
    <w:p w14:paraId="397158EE" w14:textId="77777777" w:rsidR="0093489F" w:rsidRDefault="0093489F">
      <w:pPr>
        <w:pStyle w:val="BBody"/>
      </w:pPr>
    </w:p>
    <w:p w14:paraId="07F55AC2" w14:textId="77777777" w:rsidR="0093489F" w:rsidRDefault="0093489F" w:rsidP="0093489F">
      <w:pPr>
        <w:jc w:val="center"/>
        <w:rPr>
          <w:b/>
        </w:rPr>
      </w:pPr>
      <w:r>
        <w:rPr>
          <w:b/>
        </w:rPr>
        <w:lastRenderedPageBreak/>
        <w:t>EXHIBIT G</w:t>
      </w:r>
    </w:p>
    <w:p w14:paraId="6AA77793" w14:textId="77777777" w:rsidR="0093489F" w:rsidRDefault="0093489F" w:rsidP="0093489F">
      <w:pPr>
        <w:jc w:val="center"/>
        <w:rPr>
          <w:b/>
        </w:rPr>
      </w:pPr>
    </w:p>
    <w:p w14:paraId="35A33DF6" w14:textId="77777777" w:rsidR="0093489F" w:rsidRDefault="0093489F" w:rsidP="0093489F">
      <w:pPr>
        <w:pStyle w:val="BBody"/>
        <w:jc w:val="center"/>
      </w:pPr>
      <w:r>
        <w:t>REQUIRED INSURANCE COVERAGES</w:t>
      </w:r>
    </w:p>
    <w:p w14:paraId="528CCDFF" w14:textId="77777777" w:rsidR="0093489F" w:rsidRPr="00D643A9" w:rsidRDefault="0093489F" w:rsidP="0093489F">
      <w:pPr>
        <w:pStyle w:val="RSBlockText"/>
        <w:rPr>
          <w:rFonts w:asciiTheme="majorHAnsi" w:hAnsiTheme="majorHAnsi" w:cstheme="majorHAnsi"/>
          <w:b/>
          <w:sz w:val="24"/>
          <w:szCs w:val="24"/>
        </w:rPr>
      </w:pPr>
      <w:r w:rsidRPr="00D643A9">
        <w:rPr>
          <w:rFonts w:asciiTheme="majorHAnsi" w:hAnsiTheme="majorHAnsi" w:cstheme="majorHAnsi"/>
          <w:sz w:val="24"/>
          <w:szCs w:val="24"/>
        </w:rPr>
        <w:t xml:space="preserve">The insurance coverages required of Seller and each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Pr>
          <w:rFonts w:asciiTheme="majorHAnsi" w:hAnsiTheme="majorHAnsi" w:cstheme="majorHAnsi"/>
          <w:sz w:val="24"/>
          <w:szCs w:val="24"/>
        </w:rPr>
        <w:t xml:space="preserve">of Seller </w:t>
      </w:r>
      <w:r w:rsidRPr="00D643A9">
        <w:rPr>
          <w:rFonts w:asciiTheme="majorHAnsi" w:hAnsiTheme="majorHAnsi" w:cstheme="majorHAnsi"/>
          <w:sz w:val="24"/>
          <w:szCs w:val="24"/>
        </w:rPr>
        <w:t xml:space="preserve">shall be written on an occurrence basis (with the exception of Pollution Liability).  Deductibles of applicable liability insurance policies shall be at levels that are reasonable and customary in the Seller’s industry, and Buyer reserves the right to request deductible information from Seller and any </w:t>
      </w:r>
      <w:r>
        <w:rPr>
          <w:rFonts w:asciiTheme="majorHAnsi" w:hAnsiTheme="majorHAnsi" w:cstheme="majorHAnsi"/>
          <w:sz w:val="24"/>
          <w:szCs w:val="24"/>
        </w:rPr>
        <w:t>s</w:t>
      </w:r>
      <w:r w:rsidRPr="00D643A9">
        <w:rPr>
          <w:rFonts w:asciiTheme="majorHAnsi" w:hAnsiTheme="majorHAnsi" w:cstheme="majorHAnsi"/>
          <w:sz w:val="24"/>
          <w:szCs w:val="24"/>
        </w:rPr>
        <w:t>ubcontractors as needed.</w:t>
      </w:r>
    </w:p>
    <w:p w14:paraId="7EC7A259" w14:textId="034BB9F2" w:rsidR="0093489F" w:rsidRPr="00D643A9" w:rsidRDefault="0093489F" w:rsidP="0093489F">
      <w:pPr>
        <w:pStyle w:val="RSBlockText"/>
        <w:rPr>
          <w:rFonts w:asciiTheme="majorHAnsi" w:hAnsiTheme="majorHAnsi" w:cstheme="majorHAnsi"/>
          <w:sz w:val="24"/>
          <w:szCs w:val="24"/>
        </w:rPr>
      </w:pPr>
      <w:r>
        <w:rPr>
          <w:rFonts w:asciiTheme="majorHAnsi" w:hAnsiTheme="majorHAnsi" w:cstheme="majorHAnsi"/>
          <w:sz w:val="24"/>
          <w:szCs w:val="24"/>
        </w:rPr>
        <w:t>Prior to commencing construction of the Facility</w:t>
      </w:r>
      <w:r w:rsidRPr="00D643A9">
        <w:rPr>
          <w:rFonts w:asciiTheme="majorHAnsi" w:hAnsiTheme="majorHAnsi" w:cstheme="majorHAnsi"/>
          <w:sz w:val="24"/>
          <w:szCs w:val="24"/>
        </w:rPr>
        <w:t xml:space="preserve"> and thereafter promptly following each request by Buyer at any time during the </w:t>
      </w:r>
      <w:r>
        <w:rPr>
          <w:rFonts w:asciiTheme="majorHAnsi" w:hAnsiTheme="majorHAnsi" w:cstheme="majorHAnsi"/>
          <w:sz w:val="24"/>
          <w:szCs w:val="24"/>
        </w:rPr>
        <w:t>Term</w:t>
      </w:r>
      <w:r w:rsidRPr="00D643A9">
        <w:rPr>
          <w:rFonts w:asciiTheme="majorHAnsi" w:hAnsiTheme="majorHAnsi" w:cstheme="majorHAnsi"/>
          <w:sz w:val="24"/>
          <w:szCs w:val="24"/>
        </w:rPr>
        <w:t>, Seller shall furnish to Buyer a certificate of insurance, and all endorsements, including Additional Insured and waivers of subrogation confirmation, acceptable to Buyer evi</w:t>
      </w:r>
      <w:r>
        <w:rPr>
          <w:rFonts w:asciiTheme="majorHAnsi" w:hAnsiTheme="majorHAnsi" w:cstheme="majorHAnsi"/>
          <w:sz w:val="24"/>
          <w:szCs w:val="24"/>
        </w:rPr>
        <w:t xml:space="preserve">dencing the Required Coverages. </w:t>
      </w:r>
      <w:r w:rsidRPr="00D643A9">
        <w:rPr>
          <w:rFonts w:asciiTheme="majorHAnsi" w:hAnsiTheme="majorHAnsi" w:cstheme="majorHAnsi"/>
          <w:sz w:val="24"/>
          <w:szCs w:val="24"/>
        </w:rPr>
        <w:t>Such docu</w:t>
      </w:r>
      <w:r>
        <w:rPr>
          <w:rFonts w:asciiTheme="majorHAnsi" w:hAnsiTheme="majorHAnsi" w:cstheme="majorHAnsi"/>
          <w:sz w:val="24"/>
          <w:szCs w:val="24"/>
        </w:rPr>
        <w:t xml:space="preserve">mentation shall be emailed to: </w:t>
      </w:r>
      <w:hyperlink r:id="rId44" w:history="1">
        <w:r w:rsidRPr="00D643A9">
          <w:rPr>
            <w:rStyle w:val="Hyperlink"/>
            <w:rFonts w:asciiTheme="majorHAnsi" w:hAnsiTheme="majorHAnsi" w:cstheme="majorHAnsi"/>
            <w:sz w:val="24"/>
            <w:szCs w:val="24"/>
          </w:rPr>
          <w:t>pplcertificates@pplweb.com</w:t>
        </w:r>
      </w:hyperlink>
      <w:r w:rsidRPr="00D643A9">
        <w:rPr>
          <w:rFonts w:asciiTheme="majorHAnsi" w:hAnsiTheme="majorHAnsi" w:cstheme="majorHAnsi"/>
          <w:sz w:val="24"/>
          <w:szCs w:val="24"/>
        </w:rPr>
        <w:t xml:space="preserve">.  If any or all of the insurance policies required hereunder would otherwise expire during the </w:t>
      </w:r>
      <w:r>
        <w:rPr>
          <w:rFonts w:asciiTheme="majorHAnsi" w:hAnsiTheme="majorHAnsi" w:cstheme="majorHAnsi"/>
          <w:sz w:val="24"/>
          <w:szCs w:val="24"/>
        </w:rPr>
        <w:t>T</w:t>
      </w:r>
      <w:r w:rsidRPr="00D643A9">
        <w:rPr>
          <w:rFonts w:asciiTheme="majorHAnsi" w:hAnsiTheme="majorHAnsi" w:cstheme="majorHAnsi"/>
          <w:sz w:val="24"/>
          <w:szCs w:val="24"/>
        </w:rPr>
        <w:t xml:space="preserve">erm, Seller shall renew, or cause the applicable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to renew, as applicable, such insurance and provide renewal certificates of insurance to Buyer within thirty (30) days of the applicable policy renewal date.  Failure to furnish the required certificates and endorsements shall not relieve the Seller or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from any liability obligations within this Agreement. </w:t>
      </w:r>
    </w:p>
    <w:p w14:paraId="4BAC340E" w14:textId="77777777" w:rsidR="0093489F" w:rsidRPr="00D643A9" w:rsidRDefault="0093489F" w:rsidP="0093489F">
      <w:pPr>
        <w:pStyle w:val="RSBlockText"/>
        <w:rPr>
          <w:rFonts w:asciiTheme="majorHAnsi" w:hAnsiTheme="majorHAnsi" w:cstheme="majorHAnsi"/>
          <w:sz w:val="24"/>
          <w:szCs w:val="24"/>
        </w:rPr>
      </w:pPr>
      <w:r w:rsidRPr="00D643A9">
        <w:rPr>
          <w:rFonts w:asciiTheme="majorHAnsi" w:hAnsiTheme="majorHAnsi" w:cstheme="majorHAnsi"/>
          <w:sz w:val="24"/>
          <w:szCs w:val="24"/>
        </w:rPr>
        <w:t xml:space="preserve">Seller shall provide, and shall cause each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Pr>
          <w:rFonts w:asciiTheme="majorHAnsi" w:hAnsiTheme="majorHAnsi" w:cstheme="majorHAnsi"/>
          <w:sz w:val="24"/>
          <w:szCs w:val="24"/>
        </w:rPr>
        <w:t xml:space="preserve">of Seller </w:t>
      </w:r>
      <w:r w:rsidRPr="00D643A9">
        <w:rPr>
          <w:rFonts w:asciiTheme="majorHAnsi" w:hAnsiTheme="majorHAnsi" w:cstheme="majorHAnsi"/>
          <w:sz w:val="24"/>
          <w:szCs w:val="24"/>
        </w:rPr>
        <w:t>to provide, immediate written notice to Buyer of any cancellation or termination of said insurance, and each of the required policies shall contain language that coverage is primary in all instances regardless of what, if any, like coverages are carried by Buyer.  Seller’s liability under this Agreement shall not be limited to the Required Coverages.</w:t>
      </w:r>
    </w:p>
    <w:p w14:paraId="2855E384" w14:textId="77777777" w:rsidR="0093489F" w:rsidRPr="00D643A9" w:rsidRDefault="0093489F" w:rsidP="0093489F">
      <w:pPr>
        <w:pStyle w:val="RSBodyText"/>
        <w:ind w:firstLine="720"/>
        <w:rPr>
          <w:rFonts w:asciiTheme="majorHAnsi" w:hAnsiTheme="majorHAnsi" w:cstheme="majorHAnsi"/>
          <w:sz w:val="24"/>
        </w:rPr>
      </w:pPr>
      <w:r w:rsidRPr="00D643A9">
        <w:rPr>
          <w:rFonts w:asciiTheme="majorHAnsi" w:hAnsiTheme="majorHAnsi" w:cstheme="majorHAnsi"/>
          <w:sz w:val="24"/>
        </w:rPr>
        <w:t>MINIMUM INSURANCE</w:t>
      </w:r>
    </w:p>
    <w:p w14:paraId="0205FE0C" w14:textId="77777777" w:rsidR="0093489F" w:rsidRPr="00D643A9" w:rsidRDefault="0093489F" w:rsidP="0093489F">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TYPE OF COVERAGE</w:t>
      </w:r>
      <w:r w:rsidRPr="00D643A9">
        <w:rPr>
          <w:rFonts w:asciiTheme="majorHAnsi" w:hAnsiTheme="majorHAnsi" w:cstheme="majorHAnsi"/>
          <w:sz w:val="24"/>
        </w:rPr>
        <w:tab/>
        <w:t>COVERAGE REQUIRED</w:t>
      </w:r>
    </w:p>
    <w:p w14:paraId="3AEFC397" w14:textId="77777777" w:rsidR="0093489F" w:rsidRPr="00D643A9" w:rsidRDefault="0093489F" w:rsidP="0093489F">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1.</w:t>
      </w:r>
      <w:r w:rsidRPr="00D643A9">
        <w:rPr>
          <w:rFonts w:asciiTheme="majorHAnsi" w:hAnsiTheme="majorHAnsi" w:cstheme="majorHAnsi"/>
          <w:sz w:val="24"/>
        </w:rPr>
        <w:tab/>
        <w:t>Workers Compensation</w:t>
      </w:r>
      <w:r w:rsidRPr="00D643A9">
        <w:rPr>
          <w:rFonts w:asciiTheme="majorHAnsi" w:hAnsiTheme="majorHAnsi" w:cstheme="majorHAnsi"/>
          <w:sz w:val="24"/>
        </w:rPr>
        <w:tab/>
        <w:t xml:space="preserve">Statutory </w:t>
      </w:r>
    </w:p>
    <w:p w14:paraId="1B2F384C" w14:textId="77777777" w:rsidR="0093489F" w:rsidRPr="00D643A9" w:rsidRDefault="0093489F" w:rsidP="0093489F">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Employer’s Liability</w:t>
      </w:r>
      <w:r w:rsidRPr="00D643A9">
        <w:rPr>
          <w:rFonts w:asciiTheme="majorHAnsi" w:hAnsiTheme="majorHAnsi" w:cstheme="majorHAnsi"/>
          <w:sz w:val="24"/>
        </w:rPr>
        <w:tab/>
        <w:t>$1,000,000 per occurrence/employee/disease</w:t>
      </w:r>
    </w:p>
    <w:p w14:paraId="7D8F8E2D" w14:textId="77777777" w:rsidR="0093489F" w:rsidRPr="00D643A9" w:rsidRDefault="0093489F" w:rsidP="0093489F">
      <w:pPr>
        <w:ind w:left="360" w:firstLine="360"/>
        <w:jc w:val="both"/>
        <w:rPr>
          <w:rFonts w:asciiTheme="majorHAnsi" w:hAnsiTheme="majorHAnsi" w:cstheme="majorHAnsi"/>
        </w:rPr>
      </w:pPr>
      <w:r w:rsidRPr="00D643A9">
        <w:rPr>
          <w:rFonts w:asciiTheme="majorHAnsi" w:hAnsiTheme="majorHAnsi" w:cstheme="majorHAnsi"/>
        </w:rPr>
        <w:t xml:space="preserve">Coverage shall include U.S. Longshore and Harbor Workers Compensation Act and </w:t>
      </w:r>
    </w:p>
    <w:p w14:paraId="074E5AFF" w14:textId="77777777" w:rsidR="0093489F" w:rsidRPr="00D643A9" w:rsidRDefault="0093489F" w:rsidP="0093489F">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Maritime Employers Liability (MEL) including Jones Act coverage.</w:t>
      </w:r>
    </w:p>
    <w:p w14:paraId="6405ABD8" w14:textId="77777777" w:rsidR="0093489F" w:rsidRPr="00D643A9" w:rsidRDefault="0093489F" w:rsidP="0093489F">
      <w:pPr>
        <w:pStyle w:val="RSBodyText"/>
        <w:rPr>
          <w:rFonts w:asciiTheme="majorHAnsi" w:hAnsiTheme="majorHAnsi" w:cstheme="majorHAnsi"/>
          <w:sz w:val="24"/>
        </w:rPr>
      </w:pPr>
      <w:r w:rsidRPr="00D643A9">
        <w:rPr>
          <w:rFonts w:asciiTheme="majorHAnsi" w:hAnsiTheme="majorHAnsi" w:cstheme="majorHAnsi"/>
          <w:sz w:val="24"/>
        </w:rPr>
        <w:t xml:space="preserve">2. </w:t>
      </w:r>
      <w:r w:rsidRPr="00D643A9">
        <w:rPr>
          <w:rFonts w:asciiTheme="majorHAnsi" w:hAnsiTheme="majorHAnsi" w:cstheme="majorHAnsi"/>
          <w:sz w:val="24"/>
        </w:rPr>
        <w:tab/>
        <w:t>Commercial General Liability</w:t>
      </w:r>
    </w:p>
    <w:p w14:paraId="489E7B0C" w14:textId="77777777" w:rsidR="0093489F" w:rsidRPr="00D643A9" w:rsidRDefault="0093489F" w:rsidP="0093489F">
      <w:pPr>
        <w:pStyle w:val="RSBodyText"/>
        <w:tabs>
          <w:tab w:val="left" w:pos="5040"/>
        </w:tabs>
        <w:spacing w:after="0"/>
        <w:ind w:left="720"/>
        <w:rPr>
          <w:rFonts w:asciiTheme="majorHAnsi" w:hAnsiTheme="majorHAnsi" w:cstheme="majorHAnsi"/>
          <w:sz w:val="24"/>
        </w:rPr>
      </w:pPr>
      <w:r w:rsidRPr="00D643A9">
        <w:rPr>
          <w:rFonts w:asciiTheme="majorHAnsi" w:hAnsiTheme="majorHAnsi" w:cstheme="majorHAnsi"/>
          <w:sz w:val="24"/>
        </w:rPr>
        <w:t>Bodily Injury and</w:t>
      </w:r>
      <w:r w:rsidRPr="00D643A9">
        <w:rPr>
          <w:rFonts w:asciiTheme="majorHAnsi" w:hAnsiTheme="majorHAnsi" w:cstheme="majorHAnsi"/>
          <w:sz w:val="24"/>
        </w:rPr>
        <w:tab/>
        <w:t>$ 1,000,000 Per Occurrence/ $2,000,000</w:t>
      </w:r>
    </w:p>
    <w:p w14:paraId="02E365B0" w14:textId="77777777" w:rsidR="0093489F" w:rsidRPr="00D643A9" w:rsidRDefault="0093489F" w:rsidP="0093489F">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Property Damage</w:t>
      </w:r>
      <w:r w:rsidRPr="00D643A9">
        <w:rPr>
          <w:rFonts w:asciiTheme="majorHAnsi" w:hAnsiTheme="majorHAnsi" w:cstheme="majorHAnsi"/>
          <w:sz w:val="24"/>
        </w:rPr>
        <w:tab/>
        <w:t>General Aggregate</w:t>
      </w:r>
    </w:p>
    <w:p w14:paraId="68C0BABF" w14:textId="77777777" w:rsidR="0093489F" w:rsidRPr="00D643A9" w:rsidRDefault="0093489F" w:rsidP="0093489F">
      <w:pPr>
        <w:pStyle w:val="RSBodyText"/>
        <w:ind w:left="720"/>
        <w:rPr>
          <w:rFonts w:asciiTheme="majorHAnsi" w:hAnsiTheme="majorHAnsi" w:cstheme="majorHAnsi"/>
          <w:sz w:val="24"/>
        </w:rPr>
      </w:pPr>
      <w:r w:rsidRPr="00D643A9">
        <w:rPr>
          <w:rFonts w:asciiTheme="majorHAnsi" w:hAnsiTheme="majorHAnsi" w:cstheme="majorHAnsi"/>
          <w:sz w:val="24"/>
        </w:rPr>
        <w:t>Including, but not limited to, the following with the same above limit</w:t>
      </w:r>
      <w:r>
        <w:rPr>
          <w:rFonts w:asciiTheme="majorHAnsi" w:hAnsiTheme="majorHAnsi" w:cstheme="majorHAnsi"/>
          <w:sz w:val="24"/>
        </w:rPr>
        <w:t xml:space="preserve"> </w:t>
      </w:r>
      <w:r w:rsidRPr="00D643A9">
        <w:rPr>
          <w:rFonts w:asciiTheme="majorHAnsi" w:hAnsiTheme="majorHAnsi" w:cstheme="majorHAnsi"/>
          <w:sz w:val="24"/>
        </w:rPr>
        <w:t>of liability for</w:t>
      </w:r>
      <w:r>
        <w:rPr>
          <w:rFonts w:asciiTheme="majorHAnsi" w:hAnsiTheme="majorHAnsi" w:cstheme="majorHAnsi"/>
          <w:sz w:val="24"/>
        </w:rPr>
        <w:t xml:space="preserve"> </w:t>
      </w:r>
      <w:r w:rsidRPr="00D643A9">
        <w:rPr>
          <w:rFonts w:asciiTheme="majorHAnsi" w:hAnsiTheme="majorHAnsi" w:cstheme="majorHAnsi"/>
          <w:sz w:val="24"/>
        </w:rPr>
        <w:br/>
        <w:t>Bodily Injury and Property Damage:</w:t>
      </w:r>
    </w:p>
    <w:p w14:paraId="44C918DD" w14:textId="77777777" w:rsidR="0093489F" w:rsidRPr="00D643A9" w:rsidRDefault="0093489F" w:rsidP="0093489F">
      <w:pPr>
        <w:pStyle w:val="RSBodyText"/>
        <w:ind w:left="720"/>
        <w:rPr>
          <w:rFonts w:asciiTheme="majorHAnsi" w:hAnsiTheme="majorHAnsi" w:cstheme="majorHAnsi"/>
          <w:sz w:val="24"/>
        </w:rPr>
      </w:pPr>
      <w:r w:rsidRPr="00D643A9">
        <w:rPr>
          <w:rFonts w:asciiTheme="majorHAnsi" w:hAnsiTheme="majorHAnsi" w:cstheme="majorHAnsi"/>
          <w:sz w:val="24"/>
        </w:rPr>
        <w:t>(a)  Contractual Liability</w:t>
      </w:r>
    </w:p>
    <w:p w14:paraId="71CBC135" w14:textId="77777777" w:rsidR="0093489F" w:rsidRPr="00D643A9" w:rsidRDefault="0093489F" w:rsidP="0093489F">
      <w:pPr>
        <w:pStyle w:val="RSBodyText"/>
        <w:ind w:left="720"/>
        <w:rPr>
          <w:rFonts w:asciiTheme="majorHAnsi" w:hAnsiTheme="majorHAnsi" w:cstheme="majorHAnsi"/>
          <w:sz w:val="24"/>
        </w:rPr>
      </w:pPr>
      <w:r w:rsidRPr="00D643A9">
        <w:rPr>
          <w:rFonts w:asciiTheme="majorHAnsi" w:hAnsiTheme="majorHAnsi" w:cstheme="majorHAnsi"/>
          <w:sz w:val="24"/>
        </w:rPr>
        <w:lastRenderedPageBreak/>
        <w:t>(b)  Products and Completed Operations</w:t>
      </w:r>
    </w:p>
    <w:p w14:paraId="30BFEFD0" w14:textId="77777777" w:rsidR="0093489F" w:rsidRPr="00D643A9" w:rsidRDefault="0093489F" w:rsidP="0093489F">
      <w:pPr>
        <w:pStyle w:val="RSBodyText"/>
        <w:ind w:left="720"/>
        <w:rPr>
          <w:rFonts w:asciiTheme="majorHAnsi" w:hAnsiTheme="majorHAnsi" w:cstheme="majorHAnsi"/>
          <w:sz w:val="24"/>
        </w:rPr>
      </w:pPr>
      <w:r w:rsidRPr="00D643A9">
        <w:rPr>
          <w:rFonts w:asciiTheme="majorHAnsi" w:hAnsiTheme="majorHAnsi" w:cstheme="majorHAnsi"/>
          <w:sz w:val="24"/>
        </w:rPr>
        <w:t>(c)  Broad Form Property Damage</w:t>
      </w:r>
    </w:p>
    <w:p w14:paraId="4E5FC538" w14:textId="77777777" w:rsidR="0093489F" w:rsidRPr="00D643A9" w:rsidRDefault="0093489F" w:rsidP="0093489F">
      <w:pPr>
        <w:pStyle w:val="RSBodyText"/>
        <w:ind w:left="720"/>
        <w:rPr>
          <w:rFonts w:asciiTheme="majorHAnsi" w:hAnsiTheme="majorHAnsi" w:cstheme="majorHAnsi"/>
          <w:sz w:val="24"/>
        </w:rPr>
      </w:pPr>
      <w:r w:rsidRPr="00D643A9">
        <w:rPr>
          <w:rFonts w:asciiTheme="majorHAnsi" w:hAnsiTheme="majorHAnsi" w:cstheme="majorHAnsi"/>
          <w:sz w:val="24"/>
        </w:rPr>
        <w:t>(d)  Explosion, Collapse and Underground (XCU)</w:t>
      </w:r>
    </w:p>
    <w:p w14:paraId="4B1DDA32" w14:textId="77777777" w:rsidR="0093489F" w:rsidRPr="00D643A9" w:rsidRDefault="0093489F" w:rsidP="0093489F">
      <w:pPr>
        <w:pStyle w:val="RSBlockText"/>
        <w:rPr>
          <w:rFonts w:asciiTheme="majorHAnsi" w:hAnsiTheme="majorHAnsi" w:cstheme="majorHAnsi"/>
          <w:sz w:val="24"/>
          <w:szCs w:val="24"/>
        </w:rPr>
      </w:pPr>
      <w:r w:rsidRPr="00D643A9">
        <w:rPr>
          <w:rFonts w:asciiTheme="majorHAnsi" w:hAnsiTheme="majorHAnsi" w:cstheme="majorHAnsi"/>
          <w:sz w:val="24"/>
          <w:szCs w:val="24"/>
        </w:rPr>
        <w:t>The Commercial General Liability policy shall contain either by inclusion in the form or by separate endorsement the following coverages:</w:t>
      </w:r>
    </w:p>
    <w:p w14:paraId="53489CBC" w14:textId="77777777" w:rsidR="0093489F" w:rsidRPr="00D643A9" w:rsidRDefault="0093489F" w:rsidP="0093489F">
      <w:pPr>
        <w:pStyle w:val="RSBulletedList"/>
        <w:rPr>
          <w:rFonts w:asciiTheme="majorHAnsi" w:hAnsiTheme="majorHAnsi" w:cstheme="majorHAnsi"/>
          <w:sz w:val="24"/>
        </w:rPr>
      </w:pPr>
      <w:r w:rsidRPr="00D643A9">
        <w:rPr>
          <w:rFonts w:asciiTheme="majorHAnsi" w:hAnsiTheme="majorHAnsi" w:cstheme="majorHAnsi"/>
          <w:sz w:val="24"/>
        </w:rPr>
        <w:t>Independent Contractors Liability;</w:t>
      </w:r>
    </w:p>
    <w:p w14:paraId="23B1B9B5" w14:textId="77777777" w:rsidR="0093489F" w:rsidRPr="00D643A9" w:rsidRDefault="0093489F" w:rsidP="0093489F">
      <w:pPr>
        <w:pStyle w:val="RSBulletedList"/>
        <w:rPr>
          <w:rFonts w:asciiTheme="majorHAnsi" w:hAnsiTheme="majorHAnsi" w:cstheme="majorHAnsi"/>
          <w:sz w:val="24"/>
        </w:rPr>
      </w:pPr>
      <w:r w:rsidRPr="00D643A9">
        <w:rPr>
          <w:rFonts w:asciiTheme="majorHAnsi" w:hAnsiTheme="majorHAnsi" w:cstheme="majorHAnsi"/>
          <w:sz w:val="24"/>
        </w:rPr>
        <w:t>Waiver of subrogation in favor of the additional insureds;</w:t>
      </w:r>
    </w:p>
    <w:p w14:paraId="742E0D52" w14:textId="77777777" w:rsidR="0093489F" w:rsidRPr="00D643A9" w:rsidRDefault="0093489F" w:rsidP="0093489F">
      <w:pPr>
        <w:pStyle w:val="RSBulletedList"/>
        <w:rPr>
          <w:rFonts w:asciiTheme="majorHAnsi" w:hAnsiTheme="majorHAnsi" w:cstheme="majorHAnsi"/>
          <w:sz w:val="24"/>
        </w:rPr>
      </w:pPr>
      <w:r w:rsidRPr="00D643A9">
        <w:rPr>
          <w:rFonts w:asciiTheme="majorHAnsi" w:hAnsiTheme="majorHAnsi" w:cstheme="majorHAnsi"/>
          <w:sz w:val="24"/>
        </w:rPr>
        <w:t>The policy shall be endorsed, via CG 20 10 07 04 and CG 20 37 07 04 or earlier version (note April 2013 and later versions of ISO additional insured forms are not equivalent and not acceptable to Buyer) providing both Ongoing and Completed Operations, and products-completed operations (to be maintained  through the expiration of the Term):</w:t>
      </w:r>
    </w:p>
    <w:p w14:paraId="25C20850" w14:textId="77777777" w:rsidR="0093489F" w:rsidRPr="00D643A9" w:rsidRDefault="0093489F" w:rsidP="0093489F">
      <w:pPr>
        <w:pStyle w:val="RSBulletedList"/>
        <w:rPr>
          <w:rFonts w:asciiTheme="majorHAnsi" w:hAnsiTheme="majorHAnsi" w:cstheme="majorHAnsi"/>
          <w:sz w:val="24"/>
        </w:rPr>
      </w:pPr>
      <w:r w:rsidRPr="00D643A9">
        <w:rPr>
          <w:rFonts w:asciiTheme="majorHAnsi" w:hAnsiTheme="majorHAnsi" w:cstheme="majorHAnsi"/>
          <w:sz w:val="24"/>
        </w:rPr>
        <w:t>Seller shall ensure that Buyer is included as an additional insured on the primary and excess/umbrella general liability policies.</w:t>
      </w:r>
    </w:p>
    <w:p w14:paraId="1FC5B2EA" w14:textId="77777777" w:rsidR="0093489F" w:rsidRPr="00D643A9" w:rsidRDefault="0093489F" w:rsidP="0093489F">
      <w:pPr>
        <w:pStyle w:val="RSBlockText"/>
        <w:ind w:left="720" w:firstLine="0"/>
        <w:rPr>
          <w:rFonts w:asciiTheme="majorHAnsi" w:hAnsiTheme="majorHAnsi" w:cstheme="majorHAnsi"/>
          <w:sz w:val="24"/>
          <w:szCs w:val="24"/>
        </w:rPr>
      </w:pPr>
      <w:r w:rsidRPr="00D643A9">
        <w:rPr>
          <w:rFonts w:asciiTheme="majorHAnsi" w:hAnsiTheme="majorHAnsi" w:cstheme="majorHAnsi"/>
          <w:sz w:val="24"/>
          <w:szCs w:val="24"/>
        </w:rPr>
        <w:t>Seller shall ensure that the “other insurance” clause in its policies shall be modified so that Seller’s policy is primary and non-contributory to any of Buyer’s valid and collectible policies.  It is further understood and agreed that any policies maintained by Buyer or in Buyer’s name or on its own behalf, shall be excess only over any valid and collectible insurance maintained by Seller on its own behalf and on behalf of Buyer.</w:t>
      </w:r>
    </w:p>
    <w:p w14:paraId="7E6D8A47" w14:textId="77777777" w:rsidR="0093489F" w:rsidRPr="00D643A9" w:rsidRDefault="0093489F" w:rsidP="0093489F">
      <w:pPr>
        <w:pStyle w:val="RSBlockText"/>
        <w:ind w:firstLine="0"/>
        <w:rPr>
          <w:rFonts w:asciiTheme="majorHAnsi" w:hAnsiTheme="majorHAnsi" w:cstheme="majorHAnsi"/>
          <w:sz w:val="24"/>
          <w:szCs w:val="24"/>
        </w:rPr>
      </w:pPr>
      <w:r w:rsidRPr="00D643A9">
        <w:rPr>
          <w:rFonts w:asciiTheme="majorHAnsi" w:hAnsiTheme="majorHAnsi" w:cstheme="majorHAnsi"/>
          <w:sz w:val="24"/>
          <w:szCs w:val="24"/>
        </w:rPr>
        <w:t>3.</w:t>
      </w:r>
      <w:r w:rsidRPr="00D643A9">
        <w:rPr>
          <w:rFonts w:asciiTheme="majorHAnsi" w:hAnsiTheme="majorHAnsi" w:cstheme="majorHAnsi"/>
          <w:sz w:val="24"/>
          <w:szCs w:val="24"/>
        </w:rPr>
        <w:tab/>
        <w:t>Business Automobile Liability</w:t>
      </w:r>
    </w:p>
    <w:p w14:paraId="4B5ECCBD" w14:textId="77777777" w:rsidR="0093489F" w:rsidRPr="00D643A9" w:rsidRDefault="0093489F" w:rsidP="0093489F">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Coverage shall include all owned, leased, hired or borrowed vehicles or automotive equipment when used in connection with performance of this Agreement.  Additional insured and waiver of subrogation required for this coverage.</w:t>
      </w:r>
    </w:p>
    <w:p w14:paraId="0EE14DBF" w14:textId="77777777" w:rsidR="0093489F" w:rsidRPr="00D643A9" w:rsidRDefault="0093489F" w:rsidP="0093489F">
      <w:pPr>
        <w:pStyle w:val="RSBlockText"/>
        <w:tabs>
          <w:tab w:val="left" w:pos="5040"/>
        </w:tabs>
        <w:spacing w:after="0"/>
        <w:rPr>
          <w:rFonts w:asciiTheme="majorHAnsi" w:hAnsiTheme="majorHAnsi" w:cstheme="majorHAnsi"/>
          <w:sz w:val="24"/>
          <w:szCs w:val="24"/>
        </w:rPr>
      </w:pPr>
      <w:r w:rsidRPr="00D643A9">
        <w:rPr>
          <w:rFonts w:asciiTheme="majorHAnsi" w:hAnsiTheme="majorHAnsi" w:cstheme="majorHAnsi"/>
          <w:sz w:val="24"/>
          <w:szCs w:val="24"/>
        </w:rPr>
        <w:t xml:space="preserve">  Bodily Injury and</w:t>
      </w:r>
      <w:r w:rsidRPr="00D643A9">
        <w:rPr>
          <w:rFonts w:asciiTheme="majorHAnsi" w:hAnsiTheme="majorHAnsi" w:cstheme="majorHAnsi"/>
          <w:sz w:val="24"/>
          <w:szCs w:val="24"/>
        </w:rPr>
        <w:tab/>
        <w:t>$1,000,000</w:t>
      </w:r>
    </w:p>
    <w:p w14:paraId="74705F1E" w14:textId="77777777" w:rsidR="0093489F" w:rsidRPr="00D643A9" w:rsidRDefault="0093489F" w:rsidP="0093489F">
      <w:pPr>
        <w:pStyle w:val="RSBlockText"/>
        <w:tabs>
          <w:tab w:val="left" w:pos="5040"/>
        </w:tabs>
        <w:rPr>
          <w:rFonts w:asciiTheme="majorHAnsi" w:hAnsiTheme="majorHAnsi" w:cstheme="majorHAnsi"/>
          <w:sz w:val="24"/>
          <w:szCs w:val="24"/>
        </w:rPr>
      </w:pPr>
      <w:r w:rsidRPr="00D643A9">
        <w:rPr>
          <w:rFonts w:asciiTheme="majorHAnsi" w:hAnsiTheme="majorHAnsi" w:cstheme="majorHAnsi"/>
          <w:sz w:val="24"/>
          <w:szCs w:val="24"/>
        </w:rPr>
        <w:t xml:space="preserve">  Property Damage</w:t>
      </w:r>
      <w:r w:rsidRPr="00D643A9">
        <w:rPr>
          <w:rFonts w:asciiTheme="majorHAnsi" w:hAnsiTheme="majorHAnsi" w:cstheme="majorHAnsi"/>
          <w:sz w:val="24"/>
          <w:szCs w:val="24"/>
        </w:rPr>
        <w:tab/>
        <w:t>Combined Single Limit</w:t>
      </w:r>
    </w:p>
    <w:p w14:paraId="15FDEDB9" w14:textId="77777777" w:rsidR="0093489F" w:rsidRPr="00D643A9" w:rsidRDefault="0093489F" w:rsidP="0093489F">
      <w:pPr>
        <w:pStyle w:val="RSBlockText"/>
        <w:tabs>
          <w:tab w:val="left" w:pos="720"/>
          <w:tab w:val="left" w:pos="5040"/>
        </w:tabs>
        <w:ind w:left="720" w:hanging="720"/>
        <w:jc w:val="left"/>
        <w:rPr>
          <w:rFonts w:asciiTheme="majorHAnsi" w:hAnsiTheme="majorHAnsi" w:cstheme="majorHAnsi"/>
          <w:sz w:val="24"/>
          <w:szCs w:val="24"/>
        </w:rPr>
      </w:pPr>
      <w:r w:rsidRPr="00D643A9">
        <w:rPr>
          <w:rFonts w:asciiTheme="majorHAnsi" w:hAnsiTheme="majorHAnsi" w:cstheme="majorHAnsi"/>
          <w:sz w:val="24"/>
          <w:szCs w:val="24"/>
        </w:rPr>
        <w:t>4.</w:t>
      </w:r>
      <w:r w:rsidRPr="00D643A9">
        <w:rPr>
          <w:rFonts w:asciiTheme="majorHAnsi" w:hAnsiTheme="majorHAnsi" w:cstheme="majorHAnsi"/>
          <w:sz w:val="24"/>
          <w:szCs w:val="24"/>
        </w:rPr>
        <w:tab/>
        <w:t>Umbrella / Excess Liability</w:t>
      </w:r>
      <w:r w:rsidRPr="00D643A9">
        <w:rPr>
          <w:rFonts w:asciiTheme="majorHAnsi" w:hAnsiTheme="majorHAnsi" w:cstheme="majorHAnsi"/>
          <w:sz w:val="24"/>
          <w:szCs w:val="24"/>
        </w:rPr>
        <w:tab/>
        <w:t xml:space="preserve">$10,000,000 per Occurrence and </w:t>
      </w:r>
      <w:r w:rsidRPr="00D643A9">
        <w:rPr>
          <w:rFonts w:asciiTheme="majorHAnsi" w:hAnsiTheme="majorHAnsi" w:cstheme="majorHAnsi"/>
          <w:sz w:val="24"/>
          <w:szCs w:val="24"/>
        </w:rPr>
        <w:br/>
        <w:t xml:space="preserve">                                                                              General Aggregate</w:t>
      </w:r>
    </w:p>
    <w:p w14:paraId="4995945E" w14:textId="77777777" w:rsidR="0093489F" w:rsidRPr="00D643A9" w:rsidRDefault="0093489F" w:rsidP="0093489F">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An umbrella or excess liability policy written on an occurrence form to apply to all coverages outlined in Exhibit G, items 1, 2, and 3.  Additional insured and waiver of subrogation required for this coverage.</w:t>
      </w:r>
    </w:p>
    <w:p w14:paraId="0A69C2E7" w14:textId="77777777" w:rsidR="0093489F" w:rsidRPr="00D643A9" w:rsidRDefault="0093489F" w:rsidP="0093489F">
      <w:pPr>
        <w:pStyle w:val="RSBlockText"/>
        <w:tabs>
          <w:tab w:val="left" w:pos="720"/>
          <w:tab w:val="left" w:pos="5040"/>
        </w:tabs>
        <w:ind w:left="5040" w:hanging="5040"/>
        <w:jc w:val="left"/>
        <w:rPr>
          <w:rFonts w:asciiTheme="majorHAnsi" w:hAnsiTheme="majorHAnsi" w:cstheme="majorHAnsi"/>
          <w:sz w:val="24"/>
          <w:szCs w:val="24"/>
        </w:rPr>
      </w:pPr>
      <w:r w:rsidRPr="00D643A9">
        <w:rPr>
          <w:rFonts w:asciiTheme="majorHAnsi" w:hAnsiTheme="majorHAnsi" w:cstheme="majorHAnsi"/>
          <w:sz w:val="24"/>
          <w:szCs w:val="24"/>
        </w:rPr>
        <w:t>5.</w:t>
      </w:r>
      <w:r w:rsidRPr="00D643A9">
        <w:rPr>
          <w:rFonts w:asciiTheme="majorHAnsi" w:hAnsiTheme="majorHAnsi" w:cstheme="majorHAnsi"/>
          <w:sz w:val="24"/>
          <w:szCs w:val="24"/>
        </w:rPr>
        <w:tab/>
        <w:t>Pollution Liability</w:t>
      </w:r>
      <w:r w:rsidRPr="00D643A9">
        <w:rPr>
          <w:rFonts w:asciiTheme="majorHAnsi" w:hAnsiTheme="majorHAnsi" w:cstheme="majorHAnsi"/>
          <w:sz w:val="24"/>
          <w:szCs w:val="24"/>
        </w:rPr>
        <w:tab/>
        <w:t>$5,000,000 per Accident</w:t>
      </w:r>
    </w:p>
    <w:p w14:paraId="1666C8D9" w14:textId="77777777" w:rsidR="0093489F" w:rsidRPr="00D643A9" w:rsidRDefault="0093489F" w:rsidP="0093489F">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 xml:space="preserve">To cover any sudden and gradual pollution incidents that may arise out of, under, or in connection with this Agreement, pollution liability coverage to insure for remediation, </w:t>
      </w:r>
      <w:r w:rsidRPr="00D643A9">
        <w:rPr>
          <w:rFonts w:asciiTheme="majorHAnsi" w:hAnsiTheme="majorHAnsi" w:cstheme="majorHAnsi"/>
          <w:sz w:val="24"/>
          <w:szCs w:val="24"/>
        </w:rPr>
        <w:lastRenderedPageBreak/>
        <w:t>processing or transpo</w:t>
      </w:r>
      <w:r>
        <w:rPr>
          <w:rFonts w:asciiTheme="majorHAnsi" w:hAnsiTheme="majorHAnsi" w:cstheme="majorHAnsi"/>
          <w:sz w:val="24"/>
          <w:szCs w:val="24"/>
        </w:rPr>
        <w:t>rtation of hazardous materials.</w:t>
      </w:r>
      <w:r w:rsidRPr="00D643A9">
        <w:rPr>
          <w:rFonts w:asciiTheme="majorHAnsi" w:hAnsiTheme="majorHAnsi" w:cstheme="majorHAnsi"/>
          <w:sz w:val="24"/>
          <w:szCs w:val="24"/>
        </w:rPr>
        <w:t xml:space="preserve"> Coverage for bodily injury, property damage and cleanup coverage (including defense costs) arising from pollution conditions that result from Seller or Subcontractors’ operation. No exclusions for asbestos, lead paint, silica or mold/fungus/legionella.  Policy shall be on a claims made policy form with a retroactive date no later than the effective date of the Agreement.  Additional insured and waiver of subrogation required for this coverage.</w:t>
      </w:r>
    </w:p>
    <w:p w14:paraId="0033F7C4" w14:textId="77777777" w:rsidR="0093489F" w:rsidRPr="00D643A9" w:rsidRDefault="0093489F" w:rsidP="0093489F">
      <w:pPr>
        <w:pStyle w:val="RSBlockText"/>
        <w:numPr>
          <w:ilvl w:val="0"/>
          <w:numId w:val="14"/>
        </w:numPr>
        <w:rPr>
          <w:rFonts w:asciiTheme="majorHAnsi" w:hAnsiTheme="majorHAnsi" w:cstheme="majorHAnsi"/>
          <w:sz w:val="24"/>
          <w:szCs w:val="24"/>
        </w:rPr>
      </w:pPr>
      <w:r w:rsidRPr="00D643A9">
        <w:rPr>
          <w:rFonts w:asciiTheme="majorHAnsi" w:hAnsiTheme="majorHAnsi" w:cstheme="majorHAnsi"/>
          <w:sz w:val="24"/>
          <w:szCs w:val="24"/>
        </w:rPr>
        <w:t xml:space="preserve">      Property Insurance</w:t>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t>Full replacement cost</w:t>
      </w:r>
    </w:p>
    <w:p w14:paraId="64B4BFE4" w14:textId="77777777" w:rsidR="0093489F" w:rsidRPr="002E63A6" w:rsidRDefault="0093489F" w:rsidP="0093489F">
      <w:pPr>
        <w:pStyle w:val="ListParagraph"/>
        <w:rPr>
          <w:rFonts w:asciiTheme="majorHAnsi" w:eastAsiaTheme="minorHAnsi" w:hAnsiTheme="majorHAnsi" w:cstheme="majorHAnsi"/>
          <w:lang w:eastAsia="zh-CN"/>
        </w:rPr>
      </w:pPr>
      <w:r w:rsidRPr="00D643A9">
        <w:rPr>
          <w:rFonts w:asciiTheme="majorHAnsi" w:eastAsiaTheme="minorHAnsi" w:hAnsiTheme="majorHAnsi" w:cstheme="majorHAnsi"/>
          <w:lang w:eastAsia="zh-CN"/>
        </w:rPr>
        <w:t>Seller shall carry all-risk property insurance on the Facility and in</w:t>
      </w:r>
      <w:r>
        <w:rPr>
          <w:rFonts w:asciiTheme="majorHAnsi" w:eastAsiaTheme="minorHAnsi" w:hAnsiTheme="majorHAnsi" w:cstheme="majorHAnsi"/>
          <w:lang w:eastAsia="zh-CN"/>
        </w:rPr>
        <w:t xml:space="preserve">sured at full replacement cost </w:t>
      </w:r>
      <w:r w:rsidRPr="002E63A6">
        <w:rPr>
          <w:rFonts w:asciiTheme="majorHAnsi" w:eastAsiaTheme="minorHAnsi" w:hAnsiTheme="majorHAnsi" w:cstheme="majorHAnsi"/>
          <w:lang w:eastAsia="zh-CN"/>
        </w:rPr>
        <w:t>value. The terms and applicable deductible levels of insurance coverage will be determined at Seller’s sole discretion.</w:t>
      </w:r>
    </w:p>
    <w:p w14:paraId="053275AF" w14:textId="77777777" w:rsidR="0093489F" w:rsidRDefault="0093489F" w:rsidP="0093489F">
      <w:pPr>
        <w:pStyle w:val="BBody"/>
      </w:pPr>
    </w:p>
    <w:p w14:paraId="540DE8B8" w14:textId="77777777" w:rsidR="0093489F" w:rsidRDefault="0093489F">
      <w:pPr>
        <w:pStyle w:val="BBody"/>
      </w:pPr>
    </w:p>
    <w:p w14:paraId="52A20412" w14:textId="77777777" w:rsidR="0093489F" w:rsidRDefault="0093489F">
      <w:pPr>
        <w:pStyle w:val="BBody"/>
      </w:pPr>
    </w:p>
    <w:sectPr w:rsidR="0093489F">
      <w:footerReference w:type="even" r:id="rId45"/>
      <w:footerReference w:type="default" r:id="rId46"/>
      <w:headerReference w:type="first" r:id="rId47"/>
      <w:footerReference w:type="first" r:id="rId4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3DCF7" w14:textId="77777777" w:rsidR="00B40FD7" w:rsidRDefault="00B40FD7">
      <w:r>
        <w:separator/>
      </w:r>
    </w:p>
  </w:endnote>
  <w:endnote w:type="continuationSeparator" w:id="0">
    <w:p w14:paraId="4CD880C3" w14:textId="77777777" w:rsidR="00B40FD7" w:rsidRDefault="00B40FD7">
      <w:r>
        <w:continuationSeparator/>
      </w:r>
    </w:p>
  </w:endnote>
  <w:endnote w:type="continuationNotice" w:id="1">
    <w:p w14:paraId="67834D42" w14:textId="77777777" w:rsidR="00B40FD7" w:rsidRDefault="00B40F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B545E" w14:textId="6308AB97" w:rsidR="00D66D34" w:rsidRDefault="00D66D34">
    <w:pPr>
      <w:pStyle w:val="Footer"/>
    </w:pPr>
    <w:r>
      <w:rPr>
        <w:noProof/>
      </w:rPr>
      <mc:AlternateContent>
        <mc:Choice Requires="wps">
          <w:drawing>
            <wp:anchor distT="0" distB="0" distL="0" distR="0" simplePos="0" relativeHeight="251658241" behindDoc="0" locked="0" layoutInCell="1" allowOverlap="1" wp14:anchorId="5EABAF0D" wp14:editId="32BC16B9">
              <wp:simplePos x="635" y="635"/>
              <wp:positionH relativeFrom="page">
                <wp:align>left</wp:align>
              </wp:positionH>
              <wp:positionV relativeFrom="page">
                <wp:align>bottom</wp:align>
              </wp:positionV>
              <wp:extent cx="443865" cy="443865"/>
              <wp:effectExtent l="0" t="0" r="10160" b="0"/>
              <wp:wrapNone/>
              <wp:docPr id="1006587287" name="Text Box 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6150106" w14:textId="0ED511DC"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5EABAF0D" id="_x0000_t202" coordsize="21600,21600" o:spt="202" path="m,l,21600r21600,l21600,xe">
              <v:stroke joinstyle="miter"/>
              <v:path gradientshapeok="t" o:connecttype="rect"/>
            </v:shapetype>
            <v:shape id="Text Box 2" o:spid="_x0000_s1026" type="#_x0000_t202" alt="Confidential" style="position:absolute;margin-left:0;margin-top:0;width:34.95pt;height:34.95pt;z-index:25165824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26150106" w14:textId="0ED511DC"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19"/>
      <w:gridCol w:w="3122"/>
      <w:gridCol w:w="3119"/>
    </w:tblGrid>
    <w:tr w:rsidR="008D7468" w14:paraId="2FD8CC1B" w14:textId="77777777">
      <w:tc>
        <w:tcPr>
          <w:tcW w:w="3192" w:type="dxa"/>
        </w:tcPr>
        <w:p w14:paraId="63F7BA2E" w14:textId="16397CB2" w:rsidR="008D7468" w:rsidRDefault="00D66D34">
          <w:pPr>
            <w:pStyle w:val="DocID"/>
          </w:pPr>
          <w:r>
            <mc:AlternateContent>
              <mc:Choice Requires="wps">
                <w:drawing>
                  <wp:anchor distT="0" distB="0" distL="0" distR="0" simplePos="0" relativeHeight="251658242" behindDoc="0" locked="0" layoutInCell="1" allowOverlap="1" wp14:anchorId="3671756F" wp14:editId="11743146">
                    <wp:simplePos x="635" y="635"/>
                    <wp:positionH relativeFrom="page">
                      <wp:align>left</wp:align>
                    </wp:positionH>
                    <wp:positionV relativeFrom="page">
                      <wp:align>bottom</wp:align>
                    </wp:positionV>
                    <wp:extent cx="443865" cy="443865"/>
                    <wp:effectExtent l="0" t="0" r="10160" b="0"/>
                    <wp:wrapNone/>
                    <wp:docPr id="1538865543" name="Text Box 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D835172" w14:textId="61D865D8"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3671756F" id="_x0000_t202" coordsize="21600,21600" o:spt="202" path="m,l,21600r21600,l21600,xe">
                    <v:stroke joinstyle="miter"/>
                    <v:path gradientshapeok="t" o:connecttype="rect"/>
                  </v:shapetype>
                  <v:shape id="Text Box 3" o:spid="_x0000_s1027" type="#_x0000_t202" alt="Confidential" style="position:absolute;margin-left:0;margin-top:0;width:34.95pt;height:34.95pt;z-index:25165824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filled="f" stroked="f">
                    <v:textbox style="mso-fit-shape-to-text:t" inset="20pt,0,0,15pt">
                      <w:txbxContent>
                        <w:p w14:paraId="6D835172" w14:textId="61D865D8"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31AE5D37" w14:textId="77777777" w:rsidR="008D7468" w:rsidRDefault="006A04CB">
          <w:pPr>
            <w:pStyle w:val="Footer"/>
            <w:jc w:val="center"/>
          </w:pPr>
          <w:r>
            <w:t>-</w:t>
          </w:r>
          <w:r>
            <w:fldChar w:fldCharType="begin"/>
          </w:r>
          <w:r>
            <w:instrText xml:space="preserve"> PAGE  \* MERGEFORMAT </w:instrText>
          </w:r>
          <w:r>
            <w:fldChar w:fldCharType="separate"/>
          </w:r>
          <w:r>
            <w:rPr>
              <w:noProof/>
            </w:rPr>
            <w:t>iii</w:t>
          </w:r>
          <w:r>
            <w:fldChar w:fldCharType="end"/>
          </w:r>
          <w:r>
            <w:t>-</w:t>
          </w:r>
        </w:p>
      </w:tc>
      <w:tc>
        <w:tcPr>
          <w:tcW w:w="3192" w:type="dxa"/>
        </w:tcPr>
        <w:p w14:paraId="093ACD0B" w14:textId="77777777" w:rsidR="008D7468" w:rsidRDefault="008D7468">
          <w:pPr>
            <w:pStyle w:val="Footer"/>
          </w:pPr>
        </w:p>
      </w:tc>
    </w:tr>
  </w:tbl>
  <w:p w14:paraId="2B1AE8A0" w14:textId="77777777" w:rsidR="008D7468" w:rsidRDefault="006A04CB">
    <w:pPr>
      <w:pStyle w:val="Footer"/>
      <w:rPr>
        <w:sz w:val="12"/>
        <w:szCs w:val="12"/>
      </w:rPr>
    </w:pPr>
    <w:r>
      <w:rPr>
        <w:sz w:val="12"/>
        <w:szCs w:val="12"/>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8D7468" w14:paraId="3335EDB5" w14:textId="77777777">
      <w:trPr>
        <w:trHeight w:val="270"/>
      </w:trPr>
      <w:tc>
        <w:tcPr>
          <w:tcW w:w="3192" w:type="dxa"/>
        </w:tcPr>
        <w:p w14:paraId="20F173FB" w14:textId="7E0A2198" w:rsidR="008D7468" w:rsidRDefault="00D66D34">
          <w:pPr>
            <w:pStyle w:val="DocID"/>
          </w:pPr>
          <w:r>
            <mc:AlternateContent>
              <mc:Choice Requires="wps">
                <w:drawing>
                  <wp:anchor distT="0" distB="0" distL="0" distR="0" simplePos="0" relativeHeight="251658240" behindDoc="0" locked="0" layoutInCell="1" allowOverlap="1" wp14:anchorId="65B7BCB4" wp14:editId="14A45BB8">
                    <wp:simplePos x="914400" y="9340948"/>
                    <wp:positionH relativeFrom="page">
                      <wp:align>left</wp:align>
                    </wp:positionH>
                    <wp:positionV relativeFrom="page">
                      <wp:align>bottom</wp:align>
                    </wp:positionV>
                    <wp:extent cx="443865" cy="443865"/>
                    <wp:effectExtent l="0" t="0" r="10160" b="0"/>
                    <wp:wrapNone/>
                    <wp:docPr id="1081753898" name="Text Box 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5882CD4" w14:textId="542C77DD"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65B7BCB4" id="_x0000_t202" coordsize="21600,21600" o:spt="202" path="m,l,21600r21600,l21600,xe">
                    <v:stroke joinstyle="miter"/>
                    <v:path gradientshapeok="t" o:connecttype="rect"/>
                  </v:shapetype>
                  <v:shape id="Text Box 1" o:spid="_x0000_s1028" type="#_x0000_t202" alt="Confidential"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filled="f" stroked="f">
                    <v:textbox style="mso-fit-shape-to-text:t" inset="20pt,0,0,15pt">
                      <w:txbxContent>
                        <w:p w14:paraId="05882CD4" w14:textId="542C77DD"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69FB18EE" w14:textId="77777777" w:rsidR="008D7468" w:rsidRDefault="008D7468">
          <w:pPr>
            <w:pStyle w:val="Footer"/>
            <w:tabs>
              <w:tab w:val="clear" w:pos="4680"/>
              <w:tab w:val="clear" w:pos="9360"/>
              <w:tab w:val="left" w:pos="960"/>
            </w:tabs>
          </w:pPr>
        </w:p>
      </w:tc>
      <w:tc>
        <w:tcPr>
          <w:tcW w:w="3192" w:type="dxa"/>
        </w:tcPr>
        <w:p w14:paraId="60F85DDE" w14:textId="77777777" w:rsidR="008D7468" w:rsidRDefault="008D7468">
          <w:pPr>
            <w:pStyle w:val="Footer"/>
          </w:pPr>
        </w:p>
      </w:tc>
    </w:tr>
  </w:tbl>
  <w:p w14:paraId="36ED0D59" w14:textId="77777777" w:rsidR="008D7468" w:rsidRDefault="008D7468">
    <w:pPr>
      <w:pStyle w:val="DocI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3BD85" w14:textId="6E2604A1" w:rsidR="00D66D34" w:rsidRDefault="00D66D34">
    <w:pPr>
      <w:pStyle w:val="Footer"/>
    </w:pPr>
    <w:r>
      <w:rPr>
        <w:noProof/>
      </w:rPr>
      <mc:AlternateContent>
        <mc:Choice Requires="wps">
          <w:drawing>
            <wp:anchor distT="0" distB="0" distL="0" distR="0" simplePos="0" relativeHeight="251658244" behindDoc="0" locked="0" layoutInCell="1" allowOverlap="1" wp14:anchorId="438C8482" wp14:editId="49F95D60">
              <wp:simplePos x="635" y="635"/>
              <wp:positionH relativeFrom="page">
                <wp:align>left</wp:align>
              </wp:positionH>
              <wp:positionV relativeFrom="page">
                <wp:align>bottom</wp:align>
              </wp:positionV>
              <wp:extent cx="443865" cy="443865"/>
              <wp:effectExtent l="0" t="0" r="10160" b="0"/>
              <wp:wrapNone/>
              <wp:docPr id="1153809854" name="Text Box 5"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BDC2926" w14:textId="48238E33"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438C8482" id="_x0000_t202" coordsize="21600,21600" o:spt="202" path="m,l,21600r21600,l21600,xe">
              <v:stroke joinstyle="miter"/>
              <v:path gradientshapeok="t" o:connecttype="rect"/>
            </v:shapetype>
            <v:shape id="Text Box 5" o:spid="_x0000_s1029" type="#_x0000_t202" alt="Confidential" style="position:absolute;margin-left:0;margin-top:0;width:34.95pt;height:34.95pt;z-index:25165824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NYvUncQAgAAIQQA&#10;AA4AAAAAAAAAAAAAAAAALgIAAGRycy9lMm9Eb2MueG1sUEsBAi0AFAAGAAgAAAAhANhtPP7XAAAA&#10;AwEAAA8AAAAAAAAAAAAAAAAAagQAAGRycy9kb3ducmV2LnhtbFBLBQYAAAAABAAEAPMAAABuBQAA&#10;AAA=&#10;" filled="f" stroked="f">
              <v:textbox style="mso-fit-shape-to-text:t" inset="20pt,0,0,15pt">
                <w:txbxContent>
                  <w:p w14:paraId="7BDC2926" w14:textId="48238E33"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0176F" w14:textId="49EB02F0" w:rsidR="00D66D34" w:rsidRDefault="00D66D34">
    <w:pPr>
      <w:pStyle w:val="Footer"/>
    </w:pPr>
    <w:r>
      <w:rPr>
        <w:noProof/>
      </w:rPr>
      <mc:AlternateContent>
        <mc:Choice Requires="wps">
          <w:drawing>
            <wp:anchor distT="0" distB="0" distL="0" distR="0" simplePos="0" relativeHeight="251658245" behindDoc="0" locked="0" layoutInCell="1" allowOverlap="1" wp14:anchorId="57DC966A" wp14:editId="15011ED9">
              <wp:simplePos x="635" y="635"/>
              <wp:positionH relativeFrom="page">
                <wp:align>left</wp:align>
              </wp:positionH>
              <wp:positionV relativeFrom="page">
                <wp:align>bottom</wp:align>
              </wp:positionV>
              <wp:extent cx="443865" cy="443865"/>
              <wp:effectExtent l="0" t="0" r="10160" b="0"/>
              <wp:wrapNone/>
              <wp:docPr id="1506694661" name="Text Box 6"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A2E098F" w14:textId="13318081"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57DC966A" id="_x0000_t202" coordsize="21600,21600" o:spt="202" path="m,l,21600r21600,l21600,xe">
              <v:stroke joinstyle="miter"/>
              <v:path gradientshapeok="t" o:connecttype="rect"/>
            </v:shapetype>
            <v:shape id="Text Box 6" o:spid="_x0000_s1030" type="#_x0000_t202" alt="Confidential" style="position:absolute;margin-left:0;margin-top:0;width:34.95pt;height:34.95pt;z-index:251658245;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DR6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QVFh+730N1xqEc9Pv2lm8aLL1lPrwwhwvGOVC04RkP&#10;qaAtKQyIkhrcj7/ZYzzyjl5KWhRMSQ0qmhL1zeA+Zot5nkeBpRsCN4J9AtO7fBH95qgfALU4xWdh&#10;eYIxOKgRSgf6DTW9jtXQxQzHmiXdj/Ah9PLFN8HFep2CUEuWha3ZWR5TR84ioa/dG3N2YD3gup5g&#10;lBQr3pHfx8Y/vV0fA64gbSby27M50I46TLsd3kwU+q/3FHV92aufAA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hIw0eg8CAAAhBAAA&#10;DgAAAAAAAAAAAAAAAAAuAgAAZHJzL2Uyb0RvYy54bWxQSwECLQAUAAYACAAAACEA2G08/tcAAAAD&#10;AQAADwAAAAAAAAAAAAAAAABpBAAAZHJzL2Rvd25yZXYueG1sUEsFBgAAAAAEAAQA8wAAAG0FAAAA&#10;AA==&#10;" filled="f" stroked="f">
              <v:textbox style="mso-fit-shape-to-text:t" inset="20pt,0,0,15pt">
                <w:txbxContent>
                  <w:p w14:paraId="3A2E098F" w14:textId="13318081"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04"/>
      <w:gridCol w:w="3151"/>
      <w:gridCol w:w="3105"/>
    </w:tblGrid>
    <w:tr w:rsidR="008D7468" w14:paraId="264F0B73" w14:textId="77777777">
      <w:trPr>
        <w:trHeight w:val="270"/>
      </w:trPr>
      <w:tc>
        <w:tcPr>
          <w:tcW w:w="3192" w:type="dxa"/>
        </w:tcPr>
        <w:p w14:paraId="0B58BF9F" w14:textId="700F3459" w:rsidR="008D7468" w:rsidRDefault="00D66D34">
          <w:pPr>
            <w:pStyle w:val="DocID"/>
          </w:pPr>
          <w:r>
            <mc:AlternateContent>
              <mc:Choice Requires="wps">
                <w:drawing>
                  <wp:anchor distT="0" distB="0" distL="0" distR="0" simplePos="0" relativeHeight="251658243" behindDoc="0" locked="0" layoutInCell="1" allowOverlap="1" wp14:anchorId="12581B11" wp14:editId="2CF1BE55">
                    <wp:simplePos x="915035" y="9338945"/>
                    <wp:positionH relativeFrom="page">
                      <wp:align>left</wp:align>
                    </wp:positionH>
                    <wp:positionV relativeFrom="page">
                      <wp:align>bottom</wp:align>
                    </wp:positionV>
                    <wp:extent cx="443865" cy="443865"/>
                    <wp:effectExtent l="0" t="0" r="10160" b="0"/>
                    <wp:wrapNone/>
                    <wp:docPr id="1936295369" name="Text Box 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F9F3D01" w14:textId="2AF430C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12581B11" id="_x0000_t202" coordsize="21600,21600" o:spt="202" path="m,l,21600r21600,l21600,xe">
                    <v:stroke joinstyle="miter"/>
                    <v:path gradientshapeok="t" o:connecttype="rect"/>
                  </v:shapetype>
                  <v:shape id="Text Box 4" o:spid="_x0000_s1031" type="#_x0000_t202" alt="Confidential" style="position:absolute;margin-left:0;margin-top:0;width:34.95pt;height:34.95pt;z-index:251658243;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7Xy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R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dAO18g8CAAAhBAAA&#10;DgAAAAAAAAAAAAAAAAAuAgAAZHJzL2Uyb0RvYy54bWxQSwECLQAUAAYACAAAACEA2G08/tcAAAAD&#10;AQAADwAAAAAAAAAAAAAAAABpBAAAZHJzL2Rvd25yZXYueG1sUEsFBgAAAAAEAAQA8wAAAG0FAAAA&#10;AA==&#10;" filled="f" stroked="f">
                    <v:textbox style="mso-fit-shape-to-text:t" inset="20pt,0,0,15pt">
                      <w:txbxContent>
                        <w:p w14:paraId="4F9F3D01" w14:textId="2AF430C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66BBDCC0" w14:textId="77777777" w:rsidR="008D7468" w:rsidRDefault="006A04CB">
          <w:pPr>
            <w:pStyle w:val="Footer"/>
            <w:tabs>
              <w:tab w:val="clear" w:pos="4680"/>
              <w:tab w:val="clear" w:pos="9360"/>
              <w:tab w:val="left" w:pos="1488"/>
            </w:tabs>
          </w:pPr>
          <w:r>
            <w:tab/>
            <w:t>-</w:t>
          </w:r>
          <w:r>
            <w:fldChar w:fldCharType="begin"/>
          </w:r>
          <w:r>
            <w:instrText xml:space="preserve"> PAGE  \* MERGEFORMAT </w:instrText>
          </w:r>
          <w:r>
            <w:fldChar w:fldCharType="separate"/>
          </w:r>
          <w:r>
            <w:rPr>
              <w:noProof/>
            </w:rPr>
            <w:t>i</w:t>
          </w:r>
          <w:r>
            <w:fldChar w:fldCharType="end"/>
          </w:r>
          <w:r>
            <w:t>-</w:t>
          </w:r>
        </w:p>
      </w:tc>
      <w:tc>
        <w:tcPr>
          <w:tcW w:w="3192" w:type="dxa"/>
        </w:tcPr>
        <w:p w14:paraId="50108F1C" w14:textId="77777777" w:rsidR="008D7468" w:rsidRDefault="008D7468">
          <w:pPr>
            <w:pStyle w:val="Footer"/>
          </w:pPr>
        </w:p>
      </w:tc>
    </w:tr>
  </w:tbl>
  <w:p w14:paraId="4177124B" w14:textId="77777777" w:rsidR="008D7468" w:rsidRDefault="008D7468">
    <w:pPr>
      <w:pStyle w:val="DocID"/>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A60D6" w14:textId="310D3EFB" w:rsidR="00D66D34" w:rsidRDefault="00D66D34">
    <w:pPr>
      <w:pStyle w:val="Footer"/>
    </w:pPr>
    <w:r>
      <w:rPr>
        <w:noProof/>
      </w:rPr>
      <mc:AlternateContent>
        <mc:Choice Requires="wps">
          <w:drawing>
            <wp:anchor distT="0" distB="0" distL="0" distR="0" simplePos="0" relativeHeight="251658247" behindDoc="0" locked="0" layoutInCell="1" allowOverlap="1" wp14:anchorId="643602F1" wp14:editId="545D3BC8">
              <wp:simplePos x="635" y="635"/>
              <wp:positionH relativeFrom="page">
                <wp:align>left</wp:align>
              </wp:positionH>
              <wp:positionV relativeFrom="page">
                <wp:align>bottom</wp:align>
              </wp:positionV>
              <wp:extent cx="443865" cy="443865"/>
              <wp:effectExtent l="0" t="0" r="10160" b="0"/>
              <wp:wrapNone/>
              <wp:docPr id="27815306" name="Text Box 8"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669CBC" w14:textId="6897C0BF"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643602F1" id="_x0000_t202" coordsize="21600,21600" o:spt="202" path="m,l,21600r21600,l21600,xe">
              <v:stroke joinstyle="miter"/>
              <v:path gradientshapeok="t" o:connecttype="rect"/>
            </v:shapetype>
            <v:shape id="Text Box 8" o:spid="_x0000_s1032" type="#_x0000_t202" alt="Confidential" style="position:absolute;margin-left:0;margin-top:0;width:34.95pt;height:34.95pt;z-index:251658247;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CWVRrAQAgAAIQQA&#10;AA4AAAAAAAAAAAAAAAAALgIAAGRycy9lMm9Eb2MueG1sUEsBAi0AFAAGAAgAAAAhANhtPP7XAAAA&#10;AwEAAA8AAAAAAAAAAAAAAAAAagQAAGRycy9kb3ducmV2LnhtbFBLBQYAAAAABAAEAPMAAABuBQAA&#10;AAA=&#10;" filled="f" stroked="f">
              <v:textbox style="mso-fit-shape-to-text:t" inset="20pt,0,0,15pt">
                <w:txbxContent>
                  <w:p w14:paraId="51669CBC" w14:textId="6897C0BF"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19"/>
      <w:gridCol w:w="3122"/>
      <w:gridCol w:w="3119"/>
    </w:tblGrid>
    <w:tr w:rsidR="008D7468" w14:paraId="7E2BAFBF" w14:textId="77777777">
      <w:tc>
        <w:tcPr>
          <w:tcW w:w="3192" w:type="dxa"/>
        </w:tcPr>
        <w:p w14:paraId="611DA140" w14:textId="6DAD5F03" w:rsidR="008D7468" w:rsidRDefault="00D66D34">
          <w:pPr>
            <w:pStyle w:val="DocID"/>
          </w:pPr>
          <w:r>
            <mc:AlternateContent>
              <mc:Choice Requires="wps">
                <w:drawing>
                  <wp:anchor distT="0" distB="0" distL="0" distR="0" simplePos="0" relativeHeight="251658248" behindDoc="0" locked="0" layoutInCell="1" allowOverlap="1" wp14:anchorId="2F22D879" wp14:editId="686A8CA7">
                    <wp:simplePos x="635" y="635"/>
                    <wp:positionH relativeFrom="page">
                      <wp:align>left</wp:align>
                    </wp:positionH>
                    <wp:positionV relativeFrom="page">
                      <wp:align>bottom</wp:align>
                    </wp:positionV>
                    <wp:extent cx="443865" cy="443865"/>
                    <wp:effectExtent l="0" t="0" r="10160" b="0"/>
                    <wp:wrapNone/>
                    <wp:docPr id="815109594" name="Text Box 9"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3B95C41" w14:textId="59150A58"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2F22D879" id="_x0000_t202" coordsize="21600,21600" o:spt="202" path="m,l,21600r21600,l21600,xe">
                    <v:stroke joinstyle="miter"/>
                    <v:path gradientshapeok="t" o:connecttype="rect"/>
                  </v:shapetype>
                  <v:shape id="Text Box 9" o:spid="_x0000_s1033" type="#_x0000_t202" alt="Confidential" style="position:absolute;margin-left:0;margin-top:0;width:34.95pt;height:34.95pt;z-index:25165824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NUaxzgQAgAAIQQA&#10;AA4AAAAAAAAAAAAAAAAALgIAAGRycy9lMm9Eb2MueG1sUEsBAi0AFAAGAAgAAAAhANhtPP7XAAAA&#10;AwEAAA8AAAAAAAAAAAAAAAAAagQAAGRycy9kb3ducmV2LnhtbFBLBQYAAAAABAAEAPMAAABuBQAA&#10;AAA=&#10;" filled="f" stroked="f">
                    <v:textbox style="mso-fit-shape-to-text:t" inset="20pt,0,0,15pt">
                      <w:txbxContent>
                        <w:p w14:paraId="63B95C41" w14:textId="59150A58"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48BFF92E" w14:textId="77777777" w:rsidR="008D7468" w:rsidRDefault="006A04CB">
          <w:pPr>
            <w:pStyle w:val="Footer"/>
            <w:jc w:val="center"/>
          </w:pPr>
          <w:r>
            <w:t>-</w:t>
          </w:r>
          <w:r>
            <w:fldChar w:fldCharType="begin"/>
          </w:r>
          <w:r>
            <w:instrText xml:space="preserve"> PAGE  \* MERGEFORMAT </w:instrText>
          </w:r>
          <w:r>
            <w:fldChar w:fldCharType="separate"/>
          </w:r>
          <w:r>
            <w:rPr>
              <w:noProof/>
            </w:rPr>
            <w:t>21</w:t>
          </w:r>
          <w:r>
            <w:fldChar w:fldCharType="end"/>
          </w:r>
          <w:r>
            <w:t>-</w:t>
          </w:r>
        </w:p>
      </w:tc>
      <w:tc>
        <w:tcPr>
          <w:tcW w:w="3192" w:type="dxa"/>
        </w:tcPr>
        <w:p w14:paraId="07C726E4" w14:textId="77777777" w:rsidR="008D7468" w:rsidRDefault="008D7468">
          <w:pPr>
            <w:pStyle w:val="Footer"/>
          </w:pPr>
        </w:p>
      </w:tc>
    </w:tr>
  </w:tbl>
  <w:p w14:paraId="6D02380E" w14:textId="77777777" w:rsidR="008D7468" w:rsidRDefault="006A04CB">
    <w:pPr>
      <w:pStyle w:val="Footer"/>
      <w:rPr>
        <w:sz w:val="12"/>
        <w:szCs w:val="12"/>
      </w:rPr>
    </w:pPr>
    <w:r>
      <w:rPr>
        <w:sz w:val="12"/>
        <w:szCs w:val="12"/>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8D7468" w14:paraId="242D44C9" w14:textId="77777777">
      <w:trPr>
        <w:trHeight w:val="270"/>
      </w:trPr>
      <w:tc>
        <w:tcPr>
          <w:tcW w:w="3192" w:type="dxa"/>
        </w:tcPr>
        <w:p w14:paraId="47A3132C" w14:textId="641BCB86" w:rsidR="008D7468" w:rsidRDefault="00D66D34">
          <w:pPr>
            <w:pStyle w:val="DocID"/>
          </w:pPr>
          <w:r>
            <mc:AlternateContent>
              <mc:Choice Requires="wps">
                <w:drawing>
                  <wp:anchor distT="0" distB="0" distL="0" distR="0" simplePos="0" relativeHeight="251658246" behindDoc="0" locked="0" layoutInCell="1" allowOverlap="1" wp14:anchorId="195BC580" wp14:editId="34CA7BA5">
                    <wp:simplePos x="635" y="635"/>
                    <wp:positionH relativeFrom="page">
                      <wp:align>left</wp:align>
                    </wp:positionH>
                    <wp:positionV relativeFrom="page">
                      <wp:align>bottom</wp:align>
                    </wp:positionV>
                    <wp:extent cx="443865" cy="443865"/>
                    <wp:effectExtent l="0" t="0" r="10160" b="0"/>
                    <wp:wrapNone/>
                    <wp:docPr id="2031546588" name="Text Box 7"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48AC828" w14:textId="6B2D913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195BC580" id="_x0000_t202" coordsize="21600,21600" o:spt="202" path="m,l,21600r21600,l21600,xe">
                    <v:stroke joinstyle="miter"/>
                    <v:path gradientshapeok="t" o:connecttype="rect"/>
                  </v:shapetype>
                  <v:shape id="Text Box 7" o:spid="_x0000_s1034" type="#_x0000_t202" alt="Confidential" style="position:absolute;margin-left:0;margin-top:0;width:34.95pt;height:34.95pt;z-index:25165824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4uqEA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H7vdQnXEoB/2+veWbBktvmQ8vzOGCcQ4UbXjG&#10;QypoSwoDoqQG9+Nv9hiPvKOXkhYFU1KDiqZEfTO4j9linudRYOmGwI1gn8D0Ll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IHTi6oQAgAAIQQA&#10;AA4AAAAAAAAAAAAAAAAALgIAAGRycy9lMm9Eb2MueG1sUEsBAi0AFAAGAAgAAAAhANhtPP7XAAAA&#10;AwEAAA8AAAAAAAAAAAAAAAAAagQAAGRycy9kb3ducmV2LnhtbFBLBQYAAAAABAAEAPMAAABuBQAA&#10;AAA=&#10;" filled="f" stroked="f">
                    <v:textbox style="mso-fit-shape-to-text:t" inset="20pt,0,0,15pt">
                      <w:txbxContent>
                        <w:p w14:paraId="548AC828" w14:textId="6B2D913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56234BA3" w14:textId="77777777" w:rsidR="008D7468" w:rsidRDefault="008D7468">
          <w:pPr>
            <w:pStyle w:val="Footer"/>
            <w:tabs>
              <w:tab w:val="clear" w:pos="4680"/>
              <w:tab w:val="clear" w:pos="9360"/>
              <w:tab w:val="left" w:pos="1488"/>
            </w:tabs>
          </w:pPr>
        </w:p>
      </w:tc>
      <w:tc>
        <w:tcPr>
          <w:tcW w:w="3192" w:type="dxa"/>
        </w:tcPr>
        <w:p w14:paraId="23197F16" w14:textId="77777777" w:rsidR="008D7468" w:rsidRDefault="008D7468">
          <w:pPr>
            <w:pStyle w:val="Footer"/>
          </w:pPr>
        </w:p>
      </w:tc>
    </w:tr>
  </w:tbl>
  <w:p w14:paraId="77B4AC08" w14:textId="77777777" w:rsidR="008D7468" w:rsidRDefault="008D7468">
    <w:pPr>
      <w:pStyle w:val="DocID"/>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CB45A" w14:textId="34EB0B84" w:rsidR="00D66D34" w:rsidRDefault="00D66D34">
    <w:pPr>
      <w:pStyle w:val="Footer"/>
    </w:pPr>
    <w:r>
      <w:rPr>
        <w:noProof/>
      </w:rPr>
      <mc:AlternateContent>
        <mc:Choice Requires="wps">
          <w:drawing>
            <wp:anchor distT="0" distB="0" distL="0" distR="0" simplePos="0" relativeHeight="251658250" behindDoc="0" locked="0" layoutInCell="1" allowOverlap="1" wp14:anchorId="3825928E" wp14:editId="618522D6">
              <wp:simplePos x="635" y="635"/>
              <wp:positionH relativeFrom="page">
                <wp:align>left</wp:align>
              </wp:positionH>
              <wp:positionV relativeFrom="page">
                <wp:align>bottom</wp:align>
              </wp:positionV>
              <wp:extent cx="443865" cy="443865"/>
              <wp:effectExtent l="0" t="0" r="10160" b="0"/>
              <wp:wrapNone/>
              <wp:docPr id="2019082262" name="Text Box 1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D357109" w14:textId="363E6952"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3825928E" id="_x0000_t202" coordsize="21600,21600" o:spt="202" path="m,l,21600r21600,l21600,xe">
              <v:stroke joinstyle="miter"/>
              <v:path gradientshapeok="t" o:connecttype="rect"/>
            </v:shapetype>
            <v:shape id="Text Box 11" o:spid="_x0000_s1035" type="#_x0000_t202" alt="Confidential" style="position:absolute;margin-left:0;margin-top:0;width:34.95pt;height:34.95pt;z-index:25165825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AoiEA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e/G7vdQnXEoB/2+veWbBktvmQ8vzOGCcQ4UbXjG&#10;QypoSwoDoqQG9+Nv9hiPvKOXkhYFU1KDiqZEfTO4j9linudRYOmGwI1gn8D0Ll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HFcCiIQAgAAIQQA&#10;AA4AAAAAAAAAAAAAAAAALgIAAGRycy9lMm9Eb2MueG1sUEsBAi0AFAAGAAgAAAAhANhtPP7XAAAA&#10;AwEAAA8AAAAAAAAAAAAAAAAAagQAAGRycy9kb3ducmV2LnhtbFBLBQYAAAAABAAEAPMAAABuBQAA&#10;AAA=&#10;" filled="f" stroked="f">
              <v:textbox style="mso-fit-shape-to-text:t" inset="20pt,0,0,15pt">
                <w:txbxContent>
                  <w:p w14:paraId="6D357109" w14:textId="363E6952"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A17C3" w14:textId="23D3302D" w:rsidR="00D66D34" w:rsidRDefault="00D66D34">
    <w:pPr>
      <w:pStyle w:val="Footer"/>
    </w:pPr>
    <w:r>
      <w:rPr>
        <w:noProof/>
      </w:rPr>
      <mc:AlternateContent>
        <mc:Choice Requires="wps">
          <w:drawing>
            <wp:anchor distT="0" distB="0" distL="0" distR="0" simplePos="0" relativeHeight="251658251" behindDoc="0" locked="0" layoutInCell="1" allowOverlap="1" wp14:anchorId="77EBF8E6" wp14:editId="655D41F9">
              <wp:simplePos x="635" y="635"/>
              <wp:positionH relativeFrom="page">
                <wp:align>left</wp:align>
              </wp:positionH>
              <wp:positionV relativeFrom="page">
                <wp:align>bottom</wp:align>
              </wp:positionV>
              <wp:extent cx="443865" cy="443865"/>
              <wp:effectExtent l="0" t="0" r="10160" b="0"/>
              <wp:wrapNone/>
              <wp:docPr id="1904025283" name="Text Box 1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2F4BAE9" w14:textId="31B3828B"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77EBF8E6" id="_x0000_t202" coordsize="21600,21600" o:spt="202" path="m,l,21600r21600,l21600,xe">
              <v:stroke joinstyle="miter"/>
              <v:path gradientshapeok="t" o:connecttype="rect"/>
            </v:shapetype>
            <v:shape id="Text Box 12" o:spid="_x0000_s1036" type="#_x0000_t202" alt="Confidential" style="position:absolute;margin-left:0;margin-top:0;width:34.95pt;height:34.95pt;z-index:25165825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3yj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p/4jK49VGfcykFPuLd802DvLfPhhTlkGBdB1YZn&#10;PKSCtqQwWJTU4H78zR/zEXiMUtKiYkpqUNKUqG8GCZkt5nkeFZZuaLjR2CdjepcvYtwc9QOgGKf4&#10;LixPZkwOajSlA/2Gol7HbhhihmPPku5H8yH0+sVHwcV6nZJQTJaFrdlZHktH0CKir90bc3aAPSBf&#10;TzBqihXv0O9z45/ero8BOUjUXNEccEchJnKHRxOV/us9ZV2f9uonAA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x9d8ow8CAAAiBAAA&#10;DgAAAAAAAAAAAAAAAAAuAgAAZHJzL2Uyb0RvYy54bWxQSwECLQAUAAYACAAAACEA2G08/tcAAAAD&#10;AQAADwAAAAAAAAAAAAAAAABpBAAAZHJzL2Rvd25yZXYueG1sUEsFBgAAAAAEAAQA8wAAAG0FAAAA&#10;AA==&#10;" filled="f" stroked="f">
              <v:textbox style="mso-fit-shape-to-text:t" inset="20pt,0,0,15pt">
                <w:txbxContent>
                  <w:p w14:paraId="72F4BAE9" w14:textId="31B3828B"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8D7468" w14:paraId="57644B5D" w14:textId="77777777">
      <w:trPr>
        <w:trHeight w:val="270"/>
      </w:trPr>
      <w:tc>
        <w:tcPr>
          <w:tcW w:w="3192" w:type="dxa"/>
        </w:tcPr>
        <w:p w14:paraId="1F00FCFC" w14:textId="332EB5FB" w:rsidR="008D7468" w:rsidRDefault="00D66D34">
          <w:pPr>
            <w:pStyle w:val="DocID"/>
          </w:pPr>
          <w:r>
            <mc:AlternateContent>
              <mc:Choice Requires="wps">
                <w:drawing>
                  <wp:anchor distT="0" distB="0" distL="0" distR="0" simplePos="0" relativeHeight="251658249" behindDoc="0" locked="0" layoutInCell="1" allowOverlap="1" wp14:anchorId="2208376D" wp14:editId="73252F3F">
                    <wp:simplePos x="635" y="635"/>
                    <wp:positionH relativeFrom="page">
                      <wp:align>left</wp:align>
                    </wp:positionH>
                    <wp:positionV relativeFrom="page">
                      <wp:align>bottom</wp:align>
                    </wp:positionV>
                    <wp:extent cx="443865" cy="443865"/>
                    <wp:effectExtent l="0" t="0" r="10160" b="0"/>
                    <wp:wrapNone/>
                    <wp:docPr id="570502427" name="Text Box 10"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AA8218" w14:textId="164DBAA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2208376D" id="_x0000_t202" coordsize="21600,21600" o:spt="202" path="m,l,21600r21600,l21600,xe">
                    <v:stroke joinstyle="miter"/>
                    <v:path gradientshapeok="t" o:connecttype="rect"/>
                  </v:shapetype>
                  <v:shape id="Text Box 10" o:spid="_x0000_s1037" type="#_x0000_t202" alt="Confidential" style="position:absolute;margin-left:0;margin-top:0;width:34.95pt;height:34.95pt;z-index:251658249;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P0r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Zfw/VGbdy0BPuLd802HvLfHhhDhnGRVC14RkP&#10;qaAtKQwWJTW4H3/zx3wEHqOUtKiYkhqUNCXqm0FCZot5nkeFpRsabjT2yZje5YsYN0f9ACjGKb4L&#10;y5MZk4MaTelAv6Go17Ebhpjh2LOk+9F8CL1+8VFwsV6nJBSTZWFrdpbH0hG0iOhr98acHWAPyNcT&#10;jJpixTv0+9z4p7frY0AOEjUR4B7NAXcUYiJ3eDRR6b/eU9b1aa9+Ag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N1j9Kw8CAAAiBAAA&#10;DgAAAAAAAAAAAAAAAAAuAgAAZHJzL2Uyb0RvYy54bWxQSwECLQAUAAYACAAAACEA2G08/tcAAAAD&#10;AQAADwAAAAAAAAAAAAAAAABpBAAAZHJzL2Rvd25yZXYueG1sUEsFBgAAAAAEAAQA8wAAAG0FAAAA&#10;AA==&#10;" filled="f" stroked="f">
                    <v:textbox style="mso-fit-shape-to-text:t" inset="20pt,0,0,15pt">
                      <w:txbxContent>
                        <w:p w14:paraId="46AA8218" w14:textId="164DBAA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3F61F46" w14:textId="77777777" w:rsidR="008D7468" w:rsidRDefault="008D7468">
          <w:pPr>
            <w:pStyle w:val="Footer"/>
            <w:tabs>
              <w:tab w:val="clear" w:pos="4680"/>
              <w:tab w:val="clear" w:pos="9360"/>
              <w:tab w:val="left" w:pos="1488"/>
            </w:tabs>
            <w:jc w:val="center"/>
          </w:pPr>
        </w:p>
      </w:tc>
      <w:tc>
        <w:tcPr>
          <w:tcW w:w="3192" w:type="dxa"/>
        </w:tcPr>
        <w:p w14:paraId="141A7E19" w14:textId="77777777" w:rsidR="008D7468" w:rsidRDefault="008D7468">
          <w:pPr>
            <w:pStyle w:val="Footer"/>
          </w:pPr>
        </w:p>
      </w:tc>
    </w:tr>
  </w:tbl>
  <w:p w14:paraId="3DAC1729" w14:textId="77777777" w:rsidR="008D7468" w:rsidRDefault="008D7468">
    <w:pPr>
      <w:pStyle w:val="DocID"/>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1AA52" w14:textId="074CFBCB" w:rsidR="00D66D34" w:rsidRDefault="00D66D34">
    <w:pPr>
      <w:pStyle w:val="Footer"/>
    </w:pPr>
    <w:r>
      <w:rPr>
        <w:noProof/>
      </w:rPr>
      <mc:AlternateContent>
        <mc:Choice Requires="wps">
          <w:drawing>
            <wp:anchor distT="0" distB="0" distL="0" distR="0" simplePos="0" relativeHeight="251658253" behindDoc="0" locked="0" layoutInCell="1" allowOverlap="1" wp14:anchorId="2F64490E" wp14:editId="23087DCB">
              <wp:simplePos x="635" y="635"/>
              <wp:positionH relativeFrom="page">
                <wp:align>left</wp:align>
              </wp:positionH>
              <wp:positionV relativeFrom="page">
                <wp:align>bottom</wp:align>
              </wp:positionV>
              <wp:extent cx="443865" cy="443865"/>
              <wp:effectExtent l="0" t="0" r="10160" b="0"/>
              <wp:wrapNone/>
              <wp:docPr id="477920567" name="Text Box 1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1A8ACB9" w14:textId="1EF70DC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2F64490E" id="_x0000_t202" coordsize="21600,21600" o:spt="202" path="m,l,21600r21600,l21600,xe">
              <v:stroke joinstyle="miter"/>
              <v:path gradientshapeok="t" o:connecttype="rect"/>
            </v:shapetype>
            <v:shape id="Text Box 14" o:spid="_x0000_s1038" type="#_x0000_t202" alt="Confidential" style="position:absolute;margin-left:0;margin-top:0;width:34.95pt;height:34.95pt;z-index:251658253;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g5p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j8b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bODmkQAgAAIgQA&#10;AA4AAAAAAAAAAAAAAAAALgIAAGRycy9lMm9Eb2MueG1sUEsBAi0AFAAGAAgAAAAhANhtPP7XAAAA&#10;AwEAAA8AAAAAAAAAAAAAAAAAagQAAGRycy9kb3ducmV2LnhtbFBLBQYAAAAABAAEAPMAAABuBQAA&#10;AAA=&#10;" filled="f" stroked="f">
              <v:textbox style="mso-fit-shape-to-text:t" inset="20pt,0,0,15pt">
                <w:txbxContent>
                  <w:p w14:paraId="61A8ACB9" w14:textId="1EF70DC6"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E1868" w14:textId="7BF7F1BA" w:rsidR="00D66D34" w:rsidRDefault="00D66D34">
    <w:pPr>
      <w:pStyle w:val="Footer"/>
    </w:pPr>
    <w:r>
      <w:rPr>
        <w:noProof/>
      </w:rPr>
      <mc:AlternateContent>
        <mc:Choice Requires="wps">
          <w:drawing>
            <wp:anchor distT="0" distB="0" distL="0" distR="0" simplePos="0" relativeHeight="251658254" behindDoc="0" locked="0" layoutInCell="1" allowOverlap="1" wp14:anchorId="72015D8F" wp14:editId="60E1A60D">
              <wp:simplePos x="635" y="635"/>
              <wp:positionH relativeFrom="page">
                <wp:align>left</wp:align>
              </wp:positionH>
              <wp:positionV relativeFrom="page">
                <wp:align>bottom</wp:align>
              </wp:positionV>
              <wp:extent cx="443865" cy="443865"/>
              <wp:effectExtent l="0" t="0" r="10160" b="0"/>
              <wp:wrapNone/>
              <wp:docPr id="276155507" name="Text Box 15"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EE0522C" w14:textId="7EBD687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72015D8F" id="_x0000_t202" coordsize="21600,21600" o:spt="202" path="m,l,21600r21600,l21600,xe">
              <v:stroke joinstyle="miter"/>
              <v:path gradientshapeok="t" o:connecttype="rect"/>
            </v:shapetype>
            <v:shape id="Text Box 15" o:spid="_x0000_s1039" type="#_x0000_t202" alt="Confidential" style="position:absolute;margin-left:0;margin-top:0;width:34.95pt;height:34.95pt;z-index:25165825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ZBj+EQAgAAIgQA&#10;AA4AAAAAAAAAAAAAAAAALgIAAGRycy9lMm9Eb2MueG1sUEsBAi0AFAAGAAgAAAAhANhtPP7XAAAA&#10;AwEAAA8AAAAAAAAAAAAAAAAAagQAAGRycy9kb3ducmV2LnhtbFBLBQYAAAAABAAEAPMAAABuBQAA&#10;AAA=&#10;" filled="f" stroked="f">
              <v:textbox style="mso-fit-shape-to-text:t" inset="20pt,0,0,15pt">
                <w:txbxContent>
                  <w:p w14:paraId="7EE0522C" w14:textId="7EBD687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8D7468" w14:paraId="348955D4" w14:textId="77777777">
      <w:trPr>
        <w:trHeight w:val="270"/>
      </w:trPr>
      <w:tc>
        <w:tcPr>
          <w:tcW w:w="3192" w:type="dxa"/>
        </w:tcPr>
        <w:p w14:paraId="263424FB" w14:textId="5CF91DD3" w:rsidR="008D7468" w:rsidRDefault="00D66D34">
          <w:pPr>
            <w:pStyle w:val="DocID"/>
          </w:pPr>
          <w:r>
            <mc:AlternateContent>
              <mc:Choice Requires="wps">
                <w:drawing>
                  <wp:anchor distT="0" distB="0" distL="0" distR="0" simplePos="0" relativeHeight="251658252" behindDoc="0" locked="0" layoutInCell="1" allowOverlap="1" wp14:anchorId="5BF9FF78" wp14:editId="2CDD28CC">
                    <wp:simplePos x="635" y="635"/>
                    <wp:positionH relativeFrom="page">
                      <wp:align>left</wp:align>
                    </wp:positionH>
                    <wp:positionV relativeFrom="page">
                      <wp:align>bottom</wp:align>
                    </wp:positionV>
                    <wp:extent cx="443865" cy="443865"/>
                    <wp:effectExtent l="0" t="0" r="10160" b="0"/>
                    <wp:wrapNone/>
                    <wp:docPr id="1280721218" name="Text Box 1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D073D96" w14:textId="59D2819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5BF9FF78" id="_x0000_t202" coordsize="21600,21600" o:spt="202" path="m,l,21600r21600,l21600,xe">
                    <v:stroke joinstyle="miter"/>
                    <v:path gradientshapeok="t" o:connecttype="rect"/>
                  </v:shapetype>
                  <v:shape id="Text Box 13" o:spid="_x0000_s1040" type="#_x0000_t202" alt="Confidential" style="position:absolute;margin-left:0;margin-top:0;width:34.95pt;height:34.95pt;z-index:25165825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uns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j8f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Ti6ewQAgAAIgQA&#10;AA4AAAAAAAAAAAAAAAAALgIAAGRycy9lMm9Eb2MueG1sUEsBAi0AFAAGAAgAAAAhANhtPP7XAAAA&#10;AwEAAA8AAAAAAAAAAAAAAAAAagQAAGRycy9kb3ducmV2LnhtbFBLBQYAAAAABAAEAPMAAABuBQAA&#10;AAA=&#10;" filled="f" stroked="f">
                    <v:textbox style="mso-fit-shape-to-text:t" inset="20pt,0,0,15pt">
                      <w:txbxContent>
                        <w:p w14:paraId="3D073D96" w14:textId="59D2819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397B7DD6" w14:textId="77777777" w:rsidR="008D7468" w:rsidRDefault="008D7468">
          <w:pPr>
            <w:pStyle w:val="Footer"/>
            <w:tabs>
              <w:tab w:val="clear" w:pos="4680"/>
              <w:tab w:val="clear" w:pos="9360"/>
              <w:tab w:val="left" w:pos="1488"/>
            </w:tabs>
            <w:jc w:val="center"/>
          </w:pPr>
        </w:p>
      </w:tc>
      <w:tc>
        <w:tcPr>
          <w:tcW w:w="3192" w:type="dxa"/>
        </w:tcPr>
        <w:p w14:paraId="51974D9D" w14:textId="77777777" w:rsidR="008D7468" w:rsidRDefault="008D7468">
          <w:pPr>
            <w:pStyle w:val="Footer"/>
          </w:pPr>
        </w:p>
      </w:tc>
    </w:tr>
  </w:tbl>
  <w:p w14:paraId="13AE7F09" w14:textId="77777777" w:rsidR="008D7468" w:rsidRDefault="008D7468">
    <w:pPr>
      <w:pStyle w:val="DocID"/>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05C02" w14:textId="0AC20E7B" w:rsidR="00D66D34" w:rsidRDefault="00D66D34">
    <w:pPr>
      <w:pStyle w:val="Footer"/>
    </w:pPr>
    <w:r>
      <w:rPr>
        <w:noProof/>
      </w:rPr>
      <mc:AlternateContent>
        <mc:Choice Requires="wps">
          <w:drawing>
            <wp:anchor distT="0" distB="0" distL="0" distR="0" simplePos="0" relativeHeight="251658256" behindDoc="0" locked="0" layoutInCell="1" allowOverlap="1" wp14:anchorId="51B2292C" wp14:editId="1145B56E">
              <wp:simplePos x="635" y="635"/>
              <wp:positionH relativeFrom="page">
                <wp:align>left</wp:align>
              </wp:positionH>
              <wp:positionV relativeFrom="page">
                <wp:align>bottom</wp:align>
              </wp:positionV>
              <wp:extent cx="443865" cy="443865"/>
              <wp:effectExtent l="0" t="0" r="10160" b="0"/>
              <wp:wrapNone/>
              <wp:docPr id="1324074663" name="Text Box 17"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CB4B3D9" w14:textId="4B64655F"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51B2292C" id="_x0000_t202" coordsize="21600,21600" o:spt="202" path="m,l,21600r21600,l21600,xe">
              <v:stroke joinstyle="miter"/>
              <v:path gradientshapeok="t" o:connecttype="rect"/>
            </v:shapetype>
            <v:shape id="Text Box 17" o:spid="_x0000_s1041" type="#_x0000_t202" alt="Confidential" style="position:absolute;margin-left:0;margin-top:0;width:34.95pt;height:34.95pt;z-index:25165825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Whk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r8Y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DRtaGQQAgAAIgQA&#10;AA4AAAAAAAAAAAAAAAAALgIAAGRycy9lMm9Eb2MueG1sUEsBAi0AFAAGAAgAAAAhANhtPP7XAAAA&#10;AwEAAA8AAAAAAAAAAAAAAAAAagQAAGRycy9kb3ducmV2LnhtbFBLBQYAAAAABAAEAPMAAABuBQAA&#10;AAA=&#10;" filled="f" stroked="f">
              <v:textbox style="mso-fit-shape-to-text:t" inset="20pt,0,0,15pt">
                <w:txbxContent>
                  <w:p w14:paraId="4CB4B3D9" w14:textId="4B64655F"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03E67" w14:textId="4AA5DE5C" w:rsidR="00D66D34" w:rsidRDefault="00D66D34">
    <w:pPr>
      <w:pStyle w:val="Footer"/>
    </w:pPr>
    <w:r>
      <w:rPr>
        <w:noProof/>
      </w:rPr>
      <mc:AlternateContent>
        <mc:Choice Requires="wps">
          <w:drawing>
            <wp:anchor distT="0" distB="0" distL="0" distR="0" simplePos="0" relativeHeight="251658257" behindDoc="0" locked="0" layoutInCell="1" allowOverlap="1" wp14:anchorId="58504404" wp14:editId="77D999E2">
              <wp:simplePos x="635" y="635"/>
              <wp:positionH relativeFrom="page">
                <wp:align>left</wp:align>
              </wp:positionH>
              <wp:positionV relativeFrom="page">
                <wp:align>bottom</wp:align>
              </wp:positionV>
              <wp:extent cx="443865" cy="443865"/>
              <wp:effectExtent l="0" t="0" r="10160" b="0"/>
              <wp:wrapNone/>
              <wp:docPr id="372782749" name="Text Box 18"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85613B7" w14:textId="493F2F91"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58504404" id="_x0000_t202" coordsize="21600,21600" o:spt="202" path="m,l,21600r21600,l21600,xe">
              <v:stroke joinstyle="miter"/>
              <v:path gradientshapeok="t" o:connecttype="rect"/>
            </v:shapetype>
            <v:shape id="Text Box 18" o:spid="_x0000_s1042" type="#_x0000_t202" alt="Confidential" style="position:absolute;margin-left:0;margin-top:0;width:34.95pt;height:34.95pt;z-index:251658257;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X7myYQAgAAIgQA&#10;AA4AAAAAAAAAAAAAAAAALgIAAGRycy9lMm9Eb2MueG1sUEsBAi0AFAAGAAgAAAAhANhtPP7XAAAA&#10;AwEAAA8AAAAAAAAAAAAAAAAAagQAAGRycy9kb3ducmV2LnhtbFBLBQYAAAAABAAEAPMAAABuBQAA&#10;AAA=&#10;" filled="f" stroked="f">
              <v:textbox style="mso-fit-shape-to-text:t" inset="20pt,0,0,15pt">
                <w:txbxContent>
                  <w:p w14:paraId="685613B7" w14:textId="493F2F91"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8D7468" w14:paraId="76CF1560" w14:textId="77777777">
      <w:trPr>
        <w:trHeight w:val="270"/>
      </w:trPr>
      <w:tc>
        <w:tcPr>
          <w:tcW w:w="3192" w:type="dxa"/>
        </w:tcPr>
        <w:p w14:paraId="214246C8" w14:textId="289A28E9" w:rsidR="008D7468" w:rsidRDefault="00D66D34">
          <w:pPr>
            <w:pStyle w:val="DocID"/>
          </w:pPr>
          <w:r>
            <mc:AlternateContent>
              <mc:Choice Requires="wps">
                <w:drawing>
                  <wp:anchor distT="0" distB="0" distL="0" distR="0" simplePos="0" relativeHeight="251658255" behindDoc="0" locked="0" layoutInCell="1" allowOverlap="1" wp14:anchorId="3D204823" wp14:editId="437D1336">
                    <wp:simplePos x="635" y="635"/>
                    <wp:positionH relativeFrom="page">
                      <wp:align>left</wp:align>
                    </wp:positionH>
                    <wp:positionV relativeFrom="page">
                      <wp:align>bottom</wp:align>
                    </wp:positionV>
                    <wp:extent cx="443865" cy="443865"/>
                    <wp:effectExtent l="0" t="0" r="10160" b="0"/>
                    <wp:wrapNone/>
                    <wp:docPr id="1395055222" name="Text Box 16"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E796E43" w14:textId="7387D887"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3D204823" id="_x0000_t202" coordsize="21600,21600" o:spt="202" path="m,l,21600r21600,l21600,xe">
                    <v:stroke joinstyle="miter"/>
                    <v:path gradientshapeok="t" o:connecttype="rect"/>
                  </v:shapetype>
                  <v:shape id="Text Box 16" o:spid="_x0000_s1043" type="#_x0000_t202" alt="Confidential" style="position:absolute;margin-left:0;margin-top:0;width:34.95pt;height:34.95pt;z-index:251658255;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V0Gq4QAgAAIgQA&#10;AA4AAAAAAAAAAAAAAAAALgIAAGRycy9lMm9Eb2MueG1sUEsBAi0AFAAGAAgAAAAhANhtPP7XAAAA&#10;AwEAAA8AAAAAAAAAAAAAAAAAagQAAGRycy9kb3ducmV2LnhtbFBLBQYAAAAABAAEAPMAAABuBQAA&#10;AAA=&#10;" filled="f" stroked="f">
                    <v:textbox style="mso-fit-shape-to-text:t" inset="20pt,0,0,15pt">
                      <w:txbxContent>
                        <w:p w14:paraId="5E796E43" w14:textId="7387D887"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6A232F0" w14:textId="77777777" w:rsidR="008D7468" w:rsidRDefault="008D7468">
          <w:pPr>
            <w:pStyle w:val="Footer"/>
            <w:tabs>
              <w:tab w:val="clear" w:pos="4680"/>
              <w:tab w:val="clear" w:pos="9360"/>
              <w:tab w:val="left" w:pos="1488"/>
            </w:tabs>
            <w:jc w:val="center"/>
          </w:pPr>
        </w:p>
      </w:tc>
      <w:tc>
        <w:tcPr>
          <w:tcW w:w="3192" w:type="dxa"/>
        </w:tcPr>
        <w:p w14:paraId="1788D138" w14:textId="77777777" w:rsidR="008D7468" w:rsidRDefault="008D7468">
          <w:pPr>
            <w:pStyle w:val="Footer"/>
          </w:pPr>
        </w:p>
      </w:tc>
    </w:tr>
  </w:tbl>
  <w:p w14:paraId="01740162" w14:textId="77777777" w:rsidR="008D7468" w:rsidRDefault="008D7468">
    <w:pPr>
      <w:pStyle w:val="DocID"/>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31206" w14:textId="30D56B0B" w:rsidR="00D66D34" w:rsidRDefault="00D66D34">
    <w:pPr>
      <w:pStyle w:val="Footer"/>
    </w:pPr>
    <w:r>
      <w:rPr>
        <w:noProof/>
      </w:rPr>
      <mc:AlternateContent>
        <mc:Choice Requires="wps">
          <w:drawing>
            <wp:anchor distT="0" distB="0" distL="0" distR="0" simplePos="0" relativeHeight="251658259" behindDoc="0" locked="0" layoutInCell="1" allowOverlap="1" wp14:anchorId="067853D3" wp14:editId="1333D731">
              <wp:simplePos x="635" y="635"/>
              <wp:positionH relativeFrom="page">
                <wp:align>left</wp:align>
              </wp:positionH>
              <wp:positionV relativeFrom="page">
                <wp:align>bottom</wp:align>
              </wp:positionV>
              <wp:extent cx="443865" cy="443865"/>
              <wp:effectExtent l="0" t="0" r="10160" b="0"/>
              <wp:wrapNone/>
              <wp:docPr id="1289963461" name="Text Box 20"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2E37F9" w14:textId="5E262A2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067853D3" id="_x0000_t202" coordsize="21600,21600" o:spt="202" path="m,l,21600r21600,l21600,xe">
              <v:stroke joinstyle="miter"/>
              <v:path gradientshapeok="t" o:connecttype="rect"/>
            </v:shapetype>
            <v:shape id="Text Box 20" o:spid="_x0000_s1044" type="#_x0000_t202" alt="Confidential" style="position:absolute;margin-left:0;margin-top:0;width:34.95pt;height:34.95pt;z-index:251658259;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VY8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7jr+H6oxbOegJ95ZvGuy9ZT68MIcM4yKo2vCM&#10;h1TQlhQGi5Ia3I+/+WM+Ao9RSlpUTEkNSpoS9c0gIbPFPM+jwtINDTca+2RM7/J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G9VjwQAgAAIgQA&#10;AA4AAAAAAAAAAAAAAAAALgIAAGRycy9lMm9Eb2MueG1sUEsBAi0AFAAGAAgAAAAhANhtPP7XAAAA&#10;AwEAAA8AAAAAAAAAAAAAAAAAagQAAGRycy9kb3ducmV2LnhtbFBLBQYAAAAABAAEAPMAAABuBQAA&#10;AAA=&#10;" filled="f" stroked="f">
              <v:textbox style="mso-fit-shape-to-text:t" inset="20pt,0,0,15pt">
                <w:txbxContent>
                  <w:p w14:paraId="4E2E37F9" w14:textId="5E262A2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8D7468" w14:paraId="66B7E0EC" w14:textId="77777777">
      <w:tc>
        <w:tcPr>
          <w:tcW w:w="3192" w:type="dxa"/>
        </w:tcPr>
        <w:p w14:paraId="0095822A" w14:textId="2D9881A8" w:rsidR="008D7468" w:rsidRDefault="00D66D34">
          <w:pPr>
            <w:pStyle w:val="DocID"/>
          </w:pPr>
          <w:r>
            <mc:AlternateContent>
              <mc:Choice Requires="wps">
                <w:drawing>
                  <wp:anchor distT="0" distB="0" distL="0" distR="0" simplePos="0" relativeHeight="251658260" behindDoc="0" locked="0" layoutInCell="1" allowOverlap="1" wp14:anchorId="4EB2D017" wp14:editId="09C28812">
                    <wp:simplePos x="635" y="635"/>
                    <wp:positionH relativeFrom="page">
                      <wp:align>left</wp:align>
                    </wp:positionH>
                    <wp:positionV relativeFrom="page">
                      <wp:align>bottom</wp:align>
                    </wp:positionV>
                    <wp:extent cx="443865" cy="443865"/>
                    <wp:effectExtent l="0" t="0" r="10160" b="0"/>
                    <wp:wrapNone/>
                    <wp:docPr id="333361415" name="Text Box 2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FCC316C" w14:textId="5790F757"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4EB2D017" id="_x0000_t202" coordsize="21600,21600" o:spt="202" path="m,l,21600r21600,l21600,xe">
                    <v:stroke joinstyle="miter"/>
                    <v:path gradientshapeok="t" o:connecttype="rect"/>
                  </v:shapetype>
                  <v:shape id="Text Box 21" o:spid="_x0000_s1045" type="#_x0000_t202" alt="Confidential" style="position:absolute;margin-left:0;margin-top:0;width:34.95pt;height:34.95pt;z-index:25165826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te0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3jr+H6oxbOegJ95ZvGuy9ZT68MIcM4yKo2vCM&#10;h1TQlhQGi5Ia3I+/+WM+Ao9RSlpUTEkNSpoS9c0gIbPFPM+jwtINDTca+2RM7/J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DEy17QQAgAAIgQA&#10;AA4AAAAAAAAAAAAAAAAALgIAAGRycy9lMm9Eb2MueG1sUEsBAi0AFAAGAAgAAAAhANhtPP7XAAAA&#10;AwEAAA8AAAAAAAAAAAAAAAAAagQAAGRycy9kb3ducmV2LnhtbFBLBQYAAAAABAAEAPMAAABuBQAA&#10;AAA=&#10;" filled="f" stroked="f">
                    <v:textbox style="mso-fit-shape-to-text:t" inset="20pt,0,0,15pt">
                      <w:txbxContent>
                        <w:p w14:paraId="7FCC316C" w14:textId="5790F757"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2AF2388" w14:textId="77777777" w:rsidR="008D7468" w:rsidRDefault="008D7468">
          <w:pPr>
            <w:pStyle w:val="Footer"/>
            <w:jc w:val="center"/>
          </w:pPr>
        </w:p>
      </w:tc>
      <w:tc>
        <w:tcPr>
          <w:tcW w:w="3192" w:type="dxa"/>
        </w:tcPr>
        <w:p w14:paraId="13F2DA92" w14:textId="77777777" w:rsidR="008D7468" w:rsidRDefault="008D7468">
          <w:pPr>
            <w:pStyle w:val="Footer"/>
          </w:pPr>
        </w:p>
      </w:tc>
    </w:tr>
  </w:tbl>
  <w:p w14:paraId="373CB309" w14:textId="77777777" w:rsidR="008D7468" w:rsidRDefault="006A04CB">
    <w:pPr>
      <w:pStyle w:val="Footer"/>
      <w:rPr>
        <w:sz w:val="12"/>
        <w:szCs w:val="12"/>
      </w:rPr>
    </w:pPr>
    <w:r>
      <w:rPr>
        <w:sz w:val="12"/>
        <w:szCs w:val="12"/>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8D7468" w14:paraId="459F2630" w14:textId="77777777">
      <w:trPr>
        <w:trHeight w:val="270"/>
      </w:trPr>
      <w:tc>
        <w:tcPr>
          <w:tcW w:w="3192" w:type="dxa"/>
        </w:tcPr>
        <w:p w14:paraId="7BC4999E" w14:textId="57686314" w:rsidR="008D7468" w:rsidRDefault="00D66D34">
          <w:pPr>
            <w:pStyle w:val="DocID"/>
          </w:pPr>
          <w:r>
            <mc:AlternateContent>
              <mc:Choice Requires="wps">
                <w:drawing>
                  <wp:anchor distT="0" distB="0" distL="0" distR="0" simplePos="0" relativeHeight="251658258" behindDoc="0" locked="0" layoutInCell="1" allowOverlap="1" wp14:anchorId="5AADDBCB" wp14:editId="4AC983DE">
                    <wp:simplePos x="635" y="635"/>
                    <wp:positionH relativeFrom="page">
                      <wp:align>left</wp:align>
                    </wp:positionH>
                    <wp:positionV relativeFrom="page">
                      <wp:align>bottom</wp:align>
                    </wp:positionV>
                    <wp:extent cx="443865" cy="443865"/>
                    <wp:effectExtent l="0" t="0" r="10160" b="0"/>
                    <wp:wrapNone/>
                    <wp:docPr id="132935811" name="Text Box 19"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2E943C3" w14:textId="39D94F4E"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5AADDBCB" id="_x0000_t202" coordsize="21600,21600" o:spt="202" path="m,l,21600r21600,l21600,xe">
                    <v:stroke joinstyle="miter"/>
                    <v:path gradientshapeok="t" o:connecttype="rect"/>
                  </v:shapetype>
                  <v:shape id="Text Box 19" o:spid="_x0000_s1046" type="#_x0000_t202" alt="Confidential" style="position:absolute;margin-left:0;margin-top:0;width:34.95pt;height:34.95pt;z-index:25165825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VK/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RVSWeJz+jaQ3XGrRz0hHvLNw323jIfXphDhnERVG14&#10;xkMqaEsKg0VJDe7H3/wxH4HHKCUtKqakBiVNifpmkJDZYp7nUWHphoYbjX0ypnf5IsbNUT8AinGK&#10;78LyZMbkoEZTOtBvKOp17IYhZjj2LOl+NB9Cr198FFys1ykJxWRZ2Jqd5bF0BC0i+tq9MWcH2APy&#10;9QSjpljxDv0+N/7p7foYkINEzRXNAXcUYiJ3eDRR6b/eU9b1aa9+Ag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M0VSvw8CAAAiBAAA&#10;DgAAAAAAAAAAAAAAAAAuAgAAZHJzL2Uyb0RvYy54bWxQSwECLQAUAAYACAAAACEA2G08/tcAAAAD&#10;AQAADwAAAAAAAAAAAAAAAABpBAAAZHJzL2Rvd25yZXYueG1sUEsFBgAAAAAEAAQA8wAAAG0FAAAA&#10;AA==&#10;" filled="f" stroked="f">
                    <v:textbox style="mso-fit-shape-to-text:t" inset="20pt,0,0,15pt">
                      <w:txbxContent>
                        <w:p w14:paraId="32E943C3" w14:textId="39D94F4E"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40463CC2" w14:textId="77777777" w:rsidR="008D7468" w:rsidRDefault="008D7468">
          <w:pPr>
            <w:pStyle w:val="Footer"/>
            <w:tabs>
              <w:tab w:val="clear" w:pos="4680"/>
              <w:tab w:val="clear" w:pos="9360"/>
              <w:tab w:val="left" w:pos="1488"/>
            </w:tabs>
            <w:jc w:val="center"/>
          </w:pPr>
        </w:p>
      </w:tc>
      <w:tc>
        <w:tcPr>
          <w:tcW w:w="3192" w:type="dxa"/>
        </w:tcPr>
        <w:p w14:paraId="6195A9C7" w14:textId="77777777" w:rsidR="008D7468" w:rsidRDefault="008D7468">
          <w:pPr>
            <w:pStyle w:val="Footer"/>
          </w:pPr>
        </w:p>
      </w:tc>
    </w:tr>
  </w:tbl>
  <w:p w14:paraId="0588D2B0" w14:textId="77777777" w:rsidR="008D7468" w:rsidRDefault="008D7468">
    <w:pPr>
      <w:pStyle w:val="DocID"/>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84945" w14:textId="1E644252" w:rsidR="00D66D34" w:rsidRDefault="00D66D34">
    <w:pPr>
      <w:pStyle w:val="Footer"/>
    </w:pPr>
    <w:r>
      <w:rPr>
        <w:noProof/>
      </w:rPr>
      <mc:AlternateContent>
        <mc:Choice Requires="wps">
          <w:drawing>
            <wp:anchor distT="0" distB="0" distL="0" distR="0" simplePos="0" relativeHeight="251658262" behindDoc="0" locked="0" layoutInCell="1" allowOverlap="1" wp14:anchorId="07510189" wp14:editId="1E68E392">
              <wp:simplePos x="635" y="635"/>
              <wp:positionH relativeFrom="page">
                <wp:align>left</wp:align>
              </wp:positionH>
              <wp:positionV relativeFrom="page">
                <wp:align>bottom</wp:align>
              </wp:positionV>
              <wp:extent cx="443865" cy="443865"/>
              <wp:effectExtent l="0" t="0" r="10160" b="0"/>
              <wp:wrapNone/>
              <wp:docPr id="716505229" name="Text Box 2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CD21BB4" w14:textId="237DCAC5"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07510189" id="_x0000_t202" coordsize="21600,21600" o:spt="202" path="m,l,21600r21600,l21600,xe">
              <v:stroke joinstyle="miter"/>
              <v:path gradientshapeok="t" o:connecttype="rect"/>
            </v:shapetype>
            <v:shape id="Text Box 23" o:spid="_x0000_s1047" type="#_x0000_t202" alt="Confidential" style="position:absolute;margin-left:0;margin-top:0;width:34.95pt;height:34.95pt;z-index:25165826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tM3EAIAACI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eX9vdQnXEqB/3CveWbBmtvmQ8vzOGGcRBUbXjG&#10;QypoSwoDoqQG9+Nv9hiPxKOXkhYVU1KDkqZEfTO4kNlinudRYemGwI1gn8D0Ll9EvznqB0AxTvFd&#10;WJ5gDA5qhNKBfkNRr2M1dDHDsWZJ9yN8CL1+8VFwsV6nIBSTZWFrdpbH1JG0yOhr98acHWgPuK8n&#10;GDXFinfs97HxT2/Xx4A7SKuJBPdsDryjENNyh0cTlf7rPUVdn/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PK0zcQAgAAIgQA&#10;AA4AAAAAAAAAAAAAAAAALgIAAGRycy9lMm9Eb2MueG1sUEsBAi0AFAAGAAgAAAAhANhtPP7XAAAA&#10;AwEAAA8AAAAAAAAAAAAAAAAAagQAAGRycy9kb3ducmV2LnhtbFBLBQYAAAAABAAEAPMAAABuBQAA&#10;AAA=&#10;" filled="f" stroked="f">
              <v:textbox style="mso-fit-shape-to-text:t" inset="20pt,0,0,15pt">
                <w:txbxContent>
                  <w:p w14:paraId="7CD21BB4" w14:textId="237DCAC5"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43428" w14:textId="03B3EE5D" w:rsidR="00D66D34" w:rsidRDefault="00D66D34">
    <w:pPr>
      <w:pStyle w:val="Footer"/>
    </w:pPr>
    <w:r>
      <w:rPr>
        <w:noProof/>
      </w:rPr>
      <mc:AlternateContent>
        <mc:Choice Requires="wps">
          <w:drawing>
            <wp:anchor distT="0" distB="0" distL="0" distR="0" simplePos="0" relativeHeight="251658263" behindDoc="0" locked="0" layoutInCell="1" allowOverlap="1" wp14:anchorId="28CC0F86" wp14:editId="429EA77C">
              <wp:simplePos x="635" y="635"/>
              <wp:positionH relativeFrom="page">
                <wp:align>left</wp:align>
              </wp:positionH>
              <wp:positionV relativeFrom="page">
                <wp:align>bottom</wp:align>
              </wp:positionV>
              <wp:extent cx="443865" cy="443865"/>
              <wp:effectExtent l="0" t="0" r="10160" b="0"/>
              <wp:wrapNone/>
              <wp:docPr id="2146889643" name="Text Box 2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F5E578C" w14:textId="4151856E"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28CC0F86" id="_x0000_t202" coordsize="21600,21600" o:spt="202" path="m,l,21600r21600,l21600,xe">
              <v:stroke joinstyle="miter"/>
              <v:path gradientshapeok="t" o:connecttype="rect"/>
            </v:shapetype>
            <v:shape id="Text Box 24" o:spid="_x0000_s1048" type="#_x0000_t202" alt="Confidential" style="position:absolute;margin-left:0;margin-top:0;width:34.95pt;height:34.95pt;z-index:251658263;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CB1EAIAACI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ezsf09VGecykG/cG/5psHaW+bDC3O4YRwEVRue&#10;8ZAK2pLCgCipwf34mz3GI/HopaRFxZTUoKQpUd8MLmS2mOd5VFi6IXAj2CcwvcsX0W+O+gFQjFN8&#10;F5YnGIODGqF0oN9Q1OtYDV3McKxZ0v0IH0KvX3wUXKzXKQjFZFnYmp3lMXUkLTL62r0xZwfaA+7r&#10;CUZNseId+31s/NPb9THgDtJqIsE9mwPvKMS03OHRRKX/ek9R16e9+gk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JcIHUQAgAAIgQA&#10;AA4AAAAAAAAAAAAAAAAALgIAAGRycy9lMm9Eb2MueG1sUEsBAi0AFAAGAAgAAAAhANhtPP7XAAAA&#10;AwEAAA8AAAAAAAAAAAAAAAAAagQAAGRycy9kb3ducmV2LnhtbFBLBQYAAAAABAAEAPMAAABuBQAA&#10;AAA=&#10;" filled="f" stroked="f">
              <v:textbox style="mso-fit-shape-to-text:t" inset="20pt,0,0,15pt">
                <w:txbxContent>
                  <w:p w14:paraId="5F5E578C" w14:textId="4151856E"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3120"/>
      <w:gridCol w:w="3120"/>
      <w:gridCol w:w="3120"/>
    </w:tblGrid>
    <w:tr w:rsidR="008D7468" w14:paraId="44F44F5E" w14:textId="77777777">
      <w:trPr>
        <w:trHeight w:val="270"/>
      </w:trPr>
      <w:tc>
        <w:tcPr>
          <w:tcW w:w="3192" w:type="dxa"/>
        </w:tcPr>
        <w:p w14:paraId="61921A0F" w14:textId="799D993C" w:rsidR="008D7468" w:rsidRDefault="00D66D34">
          <w:pPr>
            <w:pStyle w:val="DocID"/>
          </w:pPr>
          <w:r>
            <mc:AlternateContent>
              <mc:Choice Requires="wps">
                <w:drawing>
                  <wp:anchor distT="0" distB="0" distL="0" distR="0" simplePos="0" relativeHeight="251658261" behindDoc="0" locked="0" layoutInCell="1" allowOverlap="1" wp14:anchorId="2E0C7D59" wp14:editId="7C75C45E">
                    <wp:simplePos x="635" y="635"/>
                    <wp:positionH relativeFrom="page">
                      <wp:align>left</wp:align>
                    </wp:positionH>
                    <wp:positionV relativeFrom="page">
                      <wp:align>bottom</wp:align>
                    </wp:positionV>
                    <wp:extent cx="443865" cy="443865"/>
                    <wp:effectExtent l="0" t="0" r="10160" b="0"/>
                    <wp:wrapNone/>
                    <wp:docPr id="1566725814" name="Text Box 2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BAA63C8" w14:textId="32C2D08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w:pict>
                  <v:shapetype w14:anchorId="2E0C7D59" id="_x0000_t202" coordsize="21600,21600" o:spt="202" path="m,l,21600r21600,l21600,xe">
                    <v:stroke joinstyle="miter"/>
                    <v:path gradientshapeok="t" o:connecttype="rect"/>
                  </v:shapetype>
                  <v:shape id="Text Box 22" o:spid="_x0000_s1049" type="#_x0000_t202" alt="Confidential" style="position:absolute;margin-left:0;margin-top:0;width:34.95pt;height:34.95pt;z-index:25165826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LTof0QAgAAIgQA&#10;AA4AAAAAAAAAAAAAAAAALgIAAGRycy9lMm9Eb2MueG1sUEsBAi0AFAAGAAgAAAAhANhtPP7XAAAA&#10;AwEAAA8AAAAAAAAAAAAAAAAAagQAAGRycy9kb3ducmV2LnhtbFBLBQYAAAAABAAEAPMAAABuBQAA&#10;AAA=&#10;" filled="f" stroked="f">
                    <v:textbox style="mso-fit-shape-to-text:t" inset="20pt,0,0,15pt">
                      <w:txbxContent>
                        <w:p w14:paraId="5BAA63C8" w14:textId="32C2D08A" w:rsidR="00D66D34" w:rsidRPr="00D66D34" w:rsidRDefault="00D66D34" w:rsidP="00D66D34">
                          <w:pPr>
                            <w:rPr>
                              <w:rFonts w:ascii="Calibri" w:hAnsi="Calibri" w:cs="Calibri"/>
                              <w:noProof/>
                              <w:color w:val="000000"/>
                              <w:sz w:val="28"/>
                              <w:szCs w:val="28"/>
                            </w:rPr>
                          </w:pPr>
                          <w:r w:rsidRPr="00D66D34">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3CFEA9DC" w14:textId="77777777" w:rsidR="008D7468" w:rsidRDefault="008D7468">
          <w:pPr>
            <w:pStyle w:val="Footer"/>
            <w:tabs>
              <w:tab w:val="clear" w:pos="4680"/>
              <w:tab w:val="clear" w:pos="9360"/>
              <w:tab w:val="left" w:pos="1488"/>
            </w:tabs>
            <w:jc w:val="center"/>
          </w:pPr>
        </w:p>
      </w:tc>
      <w:tc>
        <w:tcPr>
          <w:tcW w:w="3192" w:type="dxa"/>
        </w:tcPr>
        <w:p w14:paraId="10C732CB" w14:textId="77777777" w:rsidR="008D7468" w:rsidRDefault="008D7468">
          <w:pPr>
            <w:pStyle w:val="Footer"/>
          </w:pPr>
        </w:p>
      </w:tc>
    </w:tr>
  </w:tbl>
  <w:p w14:paraId="6B9596C6" w14:textId="77777777" w:rsidR="008D7468" w:rsidRDefault="008D7468">
    <w:pPr>
      <w:pStyle w:val="DocI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15606C" w14:textId="77777777" w:rsidR="00B40FD7" w:rsidRDefault="00B40FD7">
      <w:r>
        <w:separator/>
      </w:r>
    </w:p>
  </w:footnote>
  <w:footnote w:type="continuationSeparator" w:id="0">
    <w:p w14:paraId="577CE2D4" w14:textId="77777777" w:rsidR="00B40FD7" w:rsidRDefault="00B40FD7">
      <w:r>
        <w:continuationSeparator/>
      </w:r>
    </w:p>
  </w:footnote>
  <w:footnote w:type="continuationNotice" w:id="1">
    <w:p w14:paraId="1AB60722" w14:textId="77777777" w:rsidR="00B40FD7" w:rsidRDefault="00B40FD7"/>
  </w:footnote>
  <w:footnote w:id="2">
    <w:p w14:paraId="7061E15C" w14:textId="77777777" w:rsidR="008D7468" w:rsidRDefault="006A04CB">
      <w:pPr>
        <w:pStyle w:val="FootnoteText"/>
        <w:ind w:firstLine="0"/>
      </w:pPr>
      <w:r>
        <w:rPr>
          <w:rStyle w:val="FootnoteReference"/>
        </w:rPr>
        <w:footnoteRef/>
      </w:r>
      <w:r>
        <w:t xml:space="preserve"> This draft Power Purchase Agreement is intended to provide a general description of the terms to which the Buyer is willing to agree.  The final Agreement will be subject to negotiations with the Buyer and will be customized to address the relevant circumstances, such as different generating technologies and purchases of an entitlement to all RECs produced by the generating facility,  as well as rules specific to purchases and sales from adjacent control areas, as applicable.  Accordingly, certain provisions in the final Agreement may differ from this draft Agreement.</w:t>
      </w:r>
    </w:p>
  </w:footnote>
  <w:footnote w:id="3">
    <w:p w14:paraId="760F72FD" w14:textId="77777777" w:rsidR="008D7468" w:rsidRDefault="006A04CB">
      <w:pPr>
        <w:pStyle w:val="FootnoteText"/>
      </w:pPr>
      <w:r>
        <w:rPr>
          <w:rStyle w:val="FootnoteReference"/>
        </w:rPr>
        <w:footnoteRef/>
      </w:r>
      <w:r>
        <w:t xml:space="preserve"> For offshore wind, Seller will need to have a BOEM lease to the generating site and a plan to obtain rights for transmission and interconnection.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C3EBB" w14:textId="5037B066" w:rsidR="008D7468" w:rsidRDefault="006A04CB">
    <w:pPr>
      <w:pStyle w:val="Header"/>
      <w:jc w:val="right"/>
      <w:rPr>
        <w:b/>
      </w:rPr>
    </w:pPr>
    <w:r>
      <w:tab/>
    </w:r>
    <w:r>
      <w:tab/>
    </w:r>
    <w:r>
      <w:rPr>
        <w:b/>
      </w:rPr>
      <w:t xml:space="preserve">DRAFT </w:t>
    </w:r>
    <w:r w:rsidR="00DA2AE0">
      <w:rPr>
        <w:b/>
      </w:rPr>
      <w:t>5/13/2026</w:t>
    </w:r>
    <w:r>
      <w:rPr>
        <w:b/>
      </w:rPr>
      <w:t xml:space="preserve"> (</w:t>
    </w:r>
    <w:proofErr w:type="gramStart"/>
    <w:r>
      <w:rPr>
        <w:b/>
      </w:rPr>
      <w:t>Non-Imports</w:t>
    </w:r>
    <w:proofErr w:type="gramEnd"/>
    <w:r>
      <w:rPr>
        <w:b/>
      </w:rPr>
      <w:t>)</w:t>
    </w:r>
    <w:r>
      <w:rPr>
        <w:b/>
      </w:rPr>
      <w:tab/>
    </w: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969DF" w14:textId="77777777" w:rsidR="008D7468" w:rsidRDefault="006A04CB">
    <w:pPr>
      <w:pStyle w:val="Header"/>
      <w:jc w:val="center"/>
      <w:rPr>
        <w:b/>
      </w:rPr>
    </w:pPr>
    <w:r>
      <w:rPr>
        <w:b/>
      </w:rPr>
      <w:t>TABLE OF CONTENTS (CONT.)</w:t>
    </w:r>
  </w:p>
  <w:p w14:paraId="2BBF6A60" w14:textId="77777777" w:rsidR="008D7468" w:rsidRDefault="008D7468">
    <w:pPr>
      <w:pStyle w:val="Header"/>
    </w:pPr>
  </w:p>
  <w:p w14:paraId="6960C0F6" w14:textId="77777777" w:rsidR="008D7468" w:rsidRDefault="006A04CB">
    <w:pPr>
      <w:pStyle w:val="Header"/>
      <w:jc w:val="right"/>
      <w:rPr>
        <w:b/>
        <w:u w:val="single"/>
      </w:rPr>
    </w:pPr>
    <w:r>
      <w:rPr>
        <w:b/>
        <w:u w:val="single"/>
      </w:rPr>
      <w:t>Page</w:t>
    </w:r>
  </w:p>
  <w:p w14:paraId="3FD78046" w14:textId="77777777" w:rsidR="008D7468" w:rsidRDefault="008D74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65342" w14:textId="77777777" w:rsidR="008D7468" w:rsidRDefault="008D746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79051" w14:textId="77777777" w:rsidR="008D7468" w:rsidRDefault="008D746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4F287" w14:textId="77777777" w:rsidR="008D7468" w:rsidRDefault="006A04CB">
    <w:pPr>
      <w:pStyle w:val="Header"/>
    </w:pPr>
    <w:r>
      <w:tab/>
    </w:r>
    <w:r>
      <w:tab/>
      <w:t>Draft</w:t>
    </w:r>
  </w:p>
  <w:p w14:paraId="65F8EF38" w14:textId="14DB6A6F" w:rsidR="008D7468" w:rsidRDefault="006A04CB">
    <w:pPr>
      <w:pStyle w:val="Header"/>
    </w:pPr>
    <w:r>
      <w:tab/>
    </w:r>
    <w:r>
      <w:tab/>
    </w:r>
    <w:r w:rsidR="00E24506">
      <w:t>10/7/2024</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C24E3" w14:textId="77777777" w:rsidR="008D7468" w:rsidRDefault="006A04CB">
    <w:pPr>
      <w:pStyle w:val="Header"/>
    </w:pPr>
    <w:r>
      <w:tab/>
    </w:r>
    <w:r>
      <w:tab/>
      <w:t>Draft</w:t>
    </w:r>
  </w:p>
  <w:p w14:paraId="78CFE989" w14:textId="1CB306E5" w:rsidR="008D7468" w:rsidRDefault="006A04CB">
    <w:pPr>
      <w:pStyle w:val="Header"/>
    </w:pPr>
    <w:r>
      <w:tab/>
    </w:r>
    <w:r>
      <w:tab/>
    </w:r>
    <w:r w:rsidR="003A285F">
      <w:t>10/7/2024</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1B149" w14:textId="77777777" w:rsidR="008D7468" w:rsidRDefault="006A04CB">
    <w:pPr>
      <w:pStyle w:val="Header"/>
    </w:pPr>
    <w:r>
      <w:tab/>
    </w:r>
    <w:r>
      <w:tab/>
      <w:t>Draft</w:t>
    </w:r>
  </w:p>
  <w:p w14:paraId="0CFB2E11" w14:textId="752852AA" w:rsidR="008D7468" w:rsidRDefault="006A04CB">
    <w:pPr>
      <w:pStyle w:val="Header"/>
    </w:pPr>
    <w:r>
      <w:tab/>
    </w:r>
    <w:r>
      <w:tab/>
    </w:r>
    <w:r w:rsidR="003A285F">
      <w:t>10/7/2024</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A1207" w14:textId="77777777" w:rsidR="008D7468" w:rsidRDefault="006A04CB">
    <w:pPr>
      <w:pStyle w:val="Header"/>
    </w:pPr>
    <w:r>
      <w:tab/>
    </w:r>
    <w:r>
      <w:tab/>
      <w:t>Draft</w:t>
    </w:r>
  </w:p>
  <w:p w14:paraId="0DB260A7" w14:textId="7E8D3450" w:rsidR="008D7468" w:rsidRDefault="006A04CB">
    <w:pPr>
      <w:pStyle w:val="Header"/>
    </w:pPr>
    <w:r>
      <w:tab/>
    </w:r>
    <w:r>
      <w:tab/>
    </w:r>
    <w:r w:rsidR="003A285F">
      <w:t>10/7/2024</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68063" w14:textId="77777777" w:rsidR="008D7468" w:rsidRDefault="008D746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93F49" w14:textId="77777777" w:rsidR="008D7468" w:rsidRDefault="006A04CB">
    <w:pPr>
      <w:pStyle w:val="Header"/>
    </w:pPr>
    <w:r>
      <w:tab/>
    </w:r>
    <w:r>
      <w:tab/>
      <w:t>Draft</w:t>
    </w:r>
  </w:p>
  <w:p w14:paraId="548DA6D7" w14:textId="43C7CD75" w:rsidR="008D7468" w:rsidRDefault="006A04CB">
    <w:pPr>
      <w:pStyle w:val="Header"/>
    </w:pPr>
    <w:r>
      <w:tab/>
    </w:r>
    <w:r>
      <w:tab/>
    </w:r>
    <w:r w:rsidR="003A285F">
      <w:t>10/7/2024</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52A3E" w14:textId="77777777" w:rsidR="008D7468" w:rsidRDefault="008D74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 w15:restartNumberingAfterBreak="0">
    <w:nsid w:val="197E3E90"/>
    <w:multiLevelType w:val="hybridMultilevel"/>
    <w:tmpl w:val="989895B8"/>
    <w:lvl w:ilvl="0" w:tplc="49E66460">
      <w:start w:val="1"/>
      <w:numFmt w:val="upperLetter"/>
      <w:lvlText w:val="%1)"/>
      <w:lvlJc w:val="left"/>
      <w:pPr>
        <w:ind w:left="1020" w:hanging="360"/>
      </w:pPr>
    </w:lvl>
    <w:lvl w:ilvl="1" w:tplc="224AB4BE">
      <w:start w:val="1"/>
      <w:numFmt w:val="upperLetter"/>
      <w:lvlText w:val="%2)"/>
      <w:lvlJc w:val="left"/>
      <w:pPr>
        <w:ind w:left="1020" w:hanging="360"/>
      </w:pPr>
    </w:lvl>
    <w:lvl w:ilvl="2" w:tplc="4B9C04E8">
      <w:start w:val="1"/>
      <w:numFmt w:val="upperLetter"/>
      <w:lvlText w:val="%3)"/>
      <w:lvlJc w:val="left"/>
      <w:pPr>
        <w:ind w:left="1020" w:hanging="360"/>
      </w:pPr>
    </w:lvl>
    <w:lvl w:ilvl="3" w:tplc="B9AA5722">
      <w:start w:val="1"/>
      <w:numFmt w:val="upperLetter"/>
      <w:lvlText w:val="%4)"/>
      <w:lvlJc w:val="left"/>
      <w:pPr>
        <w:ind w:left="1020" w:hanging="360"/>
      </w:pPr>
    </w:lvl>
    <w:lvl w:ilvl="4" w:tplc="0DFE4BE0">
      <w:start w:val="1"/>
      <w:numFmt w:val="upperLetter"/>
      <w:lvlText w:val="%5)"/>
      <w:lvlJc w:val="left"/>
      <w:pPr>
        <w:ind w:left="1020" w:hanging="360"/>
      </w:pPr>
    </w:lvl>
    <w:lvl w:ilvl="5" w:tplc="4C6C5ECA">
      <w:start w:val="1"/>
      <w:numFmt w:val="upperLetter"/>
      <w:lvlText w:val="%6)"/>
      <w:lvlJc w:val="left"/>
      <w:pPr>
        <w:ind w:left="1020" w:hanging="360"/>
      </w:pPr>
    </w:lvl>
    <w:lvl w:ilvl="6" w:tplc="E8663D08">
      <w:start w:val="1"/>
      <w:numFmt w:val="upperLetter"/>
      <w:lvlText w:val="%7)"/>
      <w:lvlJc w:val="left"/>
      <w:pPr>
        <w:ind w:left="1020" w:hanging="360"/>
      </w:pPr>
    </w:lvl>
    <w:lvl w:ilvl="7" w:tplc="E68400AA">
      <w:start w:val="1"/>
      <w:numFmt w:val="upperLetter"/>
      <w:lvlText w:val="%8)"/>
      <w:lvlJc w:val="left"/>
      <w:pPr>
        <w:ind w:left="1020" w:hanging="360"/>
      </w:pPr>
    </w:lvl>
    <w:lvl w:ilvl="8" w:tplc="CE6A2F6E">
      <w:start w:val="1"/>
      <w:numFmt w:val="upperLetter"/>
      <w:lvlText w:val="%9)"/>
      <w:lvlJc w:val="left"/>
      <w:pPr>
        <w:ind w:left="1020" w:hanging="360"/>
      </w:pPr>
    </w:lvl>
  </w:abstractNum>
  <w:abstractNum w:abstractNumId="2" w15:restartNumberingAfterBreak="0">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3" w15:restartNumberingAfterBreak="0">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4" w15:restartNumberingAfterBreak="0">
    <w:nsid w:val="53E41B2B"/>
    <w:multiLevelType w:val="multilevel"/>
    <w:tmpl w:val="BB8EE858"/>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0"/>
        </w:tabs>
        <w:ind w:left="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60DF22C6"/>
    <w:multiLevelType w:val="hybridMultilevel"/>
    <w:tmpl w:val="040EFDA2"/>
    <w:lvl w:ilvl="0" w:tplc="0CEE5FCC">
      <w:start w:val="1"/>
      <w:numFmt w:val="bullet"/>
      <w:pStyle w:val="RSBulletedList"/>
      <w:lvlText w:val=""/>
      <w:lvlJc w:val="left"/>
      <w:pPr>
        <w:tabs>
          <w:tab w:val="num" w:pos="720"/>
        </w:tabs>
        <w:ind w:left="1440" w:hanging="720"/>
      </w:pPr>
      <w:rPr>
        <w:rFonts w:ascii="Symbol" w:hAnsi="Symbol" w:hint="default"/>
      </w:rPr>
    </w:lvl>
    <w:lvl w:ilvl="1" w:tplc="97EA96FA">
      <w:start w:val="1"/>
      <w:numFmt w:val="bullet"/>
      <w:lvlText w:val="o"/>
      <w:lvlJc w:val="left"/>
      <w:pPr>
        <w:ind w:left="1440" w:hanging="360"/>
      </w:pPr>
      <w:rPr>
        <w:rFonts w:ascii="Courier New" w:hAnsi="Courier New" w:cs="Courier New" w:hint="default"/>
      </w:rPr>
    </w:lvl>
    <w:lvl w:ilvl="2" w:tplc="840C4878">
      <w:start w:val="1"/>
      <w:numFmt w:val="bullet"/>
      <w:lvlText w:val=""/>
      <w:lvlJc w:val="left"/>
      <w:pPr>
        <w:ind w:left="2160" w:hanging="360"/>
      </w:pPr>
      <w:rPr>
        <w:rFonts w:ascii="Wingdings" w:hAnsi="Wingdings" w:hint="default"/>
      </w:rPr>
    </w:lvl>
    <w:lvl w:ilvl="3" w:tplc="759411F4">
      <w:start w:val="1"/>
      <w:numFmt w:val="bullet"/>
      <w:lvlText w:val=""/>
      <w:lvlJc w:val="left"/>
      <w:pPr>
        <w:ind w:left="2880" w:hanging="360"/>
      </w:pPr>
      <w:rPr>
        <w:rFonts w:ascii="Symbol" w:hAnsi="Symbol" w:hint="default"/>
      </w:rPr>
    </w:lvl>
    <w:lvl w:ilvl="4" w:tplc="4216DC7A">
      <w:start w:val="1"/>
      <w:numFmt w:val="bullet"/>
      <w:lvlText w:val="o"/>
      <w:lvlJc w:val="left"/>
      <w:pPr>
        <w:ind w:left="3600" w:hanging="360"/>
      </w:pPr>
      <w:rPr>
        <w:rFonts w:ascii="Courier New" w:hAnsi="Courier New" w:cs="Courier New" w:hint="default"/>
      </w:rPr>
    </w:lvl>
    <w:lvl w:ilvl="5" w:tplc="D6DC5AD0">
      <w:start w:val="1"/>
      <w:numFmt w:val="bullet"/>
      <w:lvlText w:val=""/>
      <w:lvlJc w:val="left"/>
      <w:pPr>
        <w:ind w:left="4320" w:hanging="360"/>
      </w:pPr>
      <w:rPr>
        <w:rFonts w:ascii="Wingdings" w:hAnsi="Wingdings" w:hint="default"/>
      </w:rPr>
    </w:lvl>
    <w:lvl w:ilvl="6" w:tplc="77D8F774">
      <w:start w:val="1"/>
      <w:numFmt w:val="bullet"/>
      <w:lvlText w:val=""/>
      <w:lvlJc w:val="left"/>
      <w:pPr>
        <w:ind w:left="5040" w:hanging="360"/>
      </w:pPr>
      <w:rPr>
        <w:rFonts w:ascii="Symbol" w:hAnsi="Symbol" w:hint="default"/>
      </w:rPr>
    </w:lvl>
    <w:lvl w:ilvl="7" w:tplc="B5421A82">
      <w:start w:val="1"/>
      <w:numFmt w:val="bullet"/>
      <w:lvlText w:val="o"/>
      <w:lvlJc w:val="left"/>
      <w:pPr>
        <w:ind w:left="5760" w:hanging="360"/>
      </w:pPr>
      <w:rPr>
        <w:rFonts w:ascii="Courier New" w:hAnsi="Courier New" w:cs="Courier New" w:hint="default"/>
      </w:rPr>
    </w:lvl>
    <w:lvl w:ilvl="8" w:tplc="5148918C">
      <w:start w:val="1"/>
      <w:numFmt w:val="bullet"/>
      <w:lvlText w:val=""/>
      <w:lvlJc w:val="left"/>
      <w:pPr>
        <w:ind w:left="6480" w:hanging="360"/>
      </w:pPr>
      <w:rPr>
        <w:rFonts w:ascii="Wingdings" w:hAnsi="Wingdings" w:hint="default"/>
      </w:rPr>
    </w:lvl>
  </w:abstractNum>
  <w:abstractNum w:abstractNumId="6" w15:restartNumberingAfterBreak="0">
    <w:nsid w:val="6A353673"/>
    <w:multiLevelType w:val="hybridMultilevel"/>
    <w:tmpl w:val="0F907024"/>
    <w:lvl w:ilvl="0" w:tplc="CB7E5046">
      <w:start w:val="6"/>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16cid:durableId="117990347">
    <w:abstractNumId w:val="2"/>
  </w:num>
  <w:num w:numId="2" w16cid:durableId="687757799">
    <w:abstractNumId w:val="0"/>
  </w:num>
  <w:num w:numId="3" w16cid:durableId="1345520088">
    <w:abstractNumId w:val="4"/>
  </w:num>
  <w:num w:numId="4" w16cid:durableId="1900364442">
    <w:abstractNumId w:val="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1184707">
    <w:abstractNumId w:val="4"/>
  </w:num>
  <w:num w:numId="6" w16cid:durableId="1014961851">
    <w:abstractNumId w:val="4"/>
  </w:num>
  <w:num w:numId="7" w16cid:durableId="656346398">
    <w:abstractNumId w:val="4"/>
  </w:num>
  <w:num w:numId="8" w16cid:durableId="1689139861">
    <w:abstractNumId w:val="4"/>
  </w:num>
  <w:num w:numId="9" w16cid:durableId="789669057">
    <w:abstractNumId w:val="3"/>
  </w:num>
  <w:num w:numId="10" w16cid:durableId="341707733">
    <w:abstractNumId w:val="4"/>
  </w:num>
  <w:num w:numId="11" w16cid:durableId="2078428892">
    <w:abstractNumId w:val="4"/>
  </w:num>
  <w:num w:numId="12" w16cid:durableId="12073836">
    <w:abstractNumId w:val="1"/>
  </w:num>
  <w:num w:numId="13" w16cid:durableId="1356613736">
    <w:abstractNumId w:val="5"/>
  </w:num>
  <w:num w:numId="14" w16cid:durableId="541789928">
    <w:abstractNumId w:val="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WActiveDesign" w:val="Legal2"/>
    <w:docVar w:name="SWAllDesigns" w:val="Legal2|"/>
    <w:docVar w:name="SWAllLineBreaks" w:val="Legal2~~0|0|0|0|0|0|0|0|0|@@"/>
    <w:docVar w:name="SWDocIDLayout" w:val="2"/>
    <w:docVar w:name="SWDocIDLocation" w:val="0"/>
    <w:docVar w:name="SWTOCLevelsInfo" w:val="1=1|.  |3|0|0|@@2=2|.  |3|0|0|@@"/>
    <w:docVar w:name="SWTOCLinkToLevel" w:val="Legal2 1=1|Legal2 2=2|"/>
    <w:docVar w:name="SWTOCOtherProperties" w:val="InsertStyleSeparators=0|TCFields=C|PreserveLineBreaks=True|CreateHyperlinks=True|IncludeHeaderFooterText=False|"/>
    <w:docVar w:name="SWTOCProperties" w:val="2|0|0|0|0|0|0|"/>
  </w:docVars>
  <w:rsids>
    <w:rsidRoot w:val="008D7468"/>
    <w:rsid w:val="0000552F"/>
    <w:rsid w:val="00005655"/>
    <w:rsid w:val="000134ED"/>
    <w:rsid w:val="00024811"/>
    <w:rsid w:val="00055586"/>
    <w:rsid w:val="000966B9"/>
    <w:rsid w:val="000A0935"/>
    <w:rsid w:val="000B65DF"/>
    <w:rsid w:val="001149D4"/>
    <w:rsid w:val="00124270"/>
    <w:rsid w:val="001252DB"/>
    <w:rsid w:val="00130E32"/>
    <w:rsid w:val="00132FB5"/>
    <w:rsid w:val="0014701B"/>
    <w:rsid w:val="0015199A"/>
    <w:rsid w:val="00152FFB"/>
    <w:rsid w:val="001536BF"/>
    <w:rsid w:val="00157CEE"/>
    <w:rsid w:val="00162B97"/>
    <w:rsid w:val="00174025"/>
    <w:rsid w:val="00191EE9"/>
    <w:rsid w:val="00193EC1"/>
    <w:rsid w:val="00196CE8"/>
    <w:rsid w:val="001A30CA"/>
    <w:rsid w:val="001B2FF5"/>
    <w:rsid w:val="001D122A"/>
    <w:rsid w:val="001F389C"/>
    <w:rsid w:val="001F5B11"/>
    <w:rsid w:val="001F6688"/>
    <w:rsid w:val="0021715A"/>
    <w:rsid w:val="002173DD"/>
    <w:rsid w:val="0022048F"/>
    <w:rsid w:val="00224540"/>
    <w:rsid w:val="00242CE2"/>
    <w:rsid w:val="00244652"/>
    <w:rsid w:val="002575B2"/>
    <w:rsid w:val="0027715C"/>
    <w:rsid w:val="002A30F8"/>
    <w:rsid w:val="002C53FF"/>
    <w:rsid w:val="002D04B4"/>
    <w:rsid w:val="002E0314"/>
    <w:rsid w:val="002E2FA3"/>
    <w:rsid w:val="002F696B"/>
    <w:rsid w:val="00302A31"/>
    <w:rsid w:val="003127B5"/>
    <w:rsid w:val="0032576B"/>
    <w:rsid w:val="00337E04"/>
    <w:rsid w:val="003447D8"/>
    <w:rsid w:val="003A285F"/>
    <w:rsid w:val="003A4C3F"/>
    <w:rsid w:val="003B2EB2"/>
    <w:rsid w:val="003D2740"/>
    <w:rsid w:val="003E2F70"/>
    <w:rsid w:val="00404CC2"/>
    <w:rsid w:val="0041086A"/>
    <w:rsid w:val="00420D06"/>
    <w:rsid w:val="004555F9"/>
    <w:rsid w:val="0046021E"/>
    <w:rsid w:val="0046140B"/>
    <w:rsid w:val="00464261"/>
    <w:rsid w:val="0047524A"/>
    <w:rsid w:val="0049013A"/>
    <w:rsid w:val="004A3A88"/>
    <w:rsid w:val="00500D5D"/>
    <w:rsid w:val="00501A9A"/>
    <w:rsid w:val="00514B61"/>
    <w:rsid w:val="0052106C"/>
    <w:rsid w:val="00522496"/>
    <w:rsid w:val="00536B9A"/>
    <w:rsid w:val="00557935"/>
    <w:rsid w:val="00576A04"/>
    <w:rsid w:val="00582B6E"/>
    <w:rsid w:val="0058708A"/>
    <w:rsid w:val="00590A74"/>
    <w:rsid w:val="005A01AF"/>
    <w:rsid w:val="005B030C"/>
    <w:rsid w:val="005C5C87"/>
    <w:rsid w:val="005D7819"/>
    <w:rsid w:val="005E5AAA"/>
    <w:rsid w:val="00602A99"/>
    <w:rsid w:val="006066D5"/>
    <w:rsid w:val="00610718"/>
    <w:rsid w:val="006107B5"/>
    <w:rsid w:val="00616016"/>
    <w:rsid w:val="00623BC4"/>
    <w:rsid w:val="00636E13"/>
    <w:rsid w:val="006422F0"/>
    <w:rsid w:val="006620CE"/>
    <w:rsid w:val="00674633"/>
    <w:rsid w:val="00676D9E"/>
    <w:rsid w:val="00692CB1"/>
    <w:rsid w:val="006A04CB"/>
    <w:rsid w:val="006A482D"/>
    <w:rsid w:val="006C14F6"/>
    <w:rsid w:val="006F375F"/>
    <w:rsid w:val="0074175F"/>
    <w:rsid w:val="007738CD"/>
    <w:rsid w:val="007743B4"/>
    <w:rsid w:val="007A1235"/>
    <w:rsid w:val="007C76EE"/>
    <w:rsid w:val="007D5E55"/>
    <w:rsid w:val="007E0531"/>
    <w:rsid w:val="007E71EF"/>
    <w:rsid w:val="00806537"/>
    <w:rsid w:val="0082264C"/>
    <w:rsid w:val="00836674"/>
    <w:rsid w:val="00837017"/>
    <w:rsid w:val="008541DE"/>
    <w:rsid w:val="0085512A"/>
    <w:rsid w:val="008566B4"/>
    <w:rsid w:val="00864DFE"/>
    <w:rsid w:val="00886C47"/>
    <w:rsid w:val="0089183D"/>
    <w:rsid w:val="00891CD5"/>
    <w:rsid w:val="00895EB6"/>
    <w:rsid w:val="008A2164"/>
    <w:rsid w:val="008A2369"/>
    <w:rsid w:val="008B69FB"/>
    <w:rsid w:val="008C58D7"/>
    <w:rsid w:val="008D3673"/>
    <w:rsid w:val="008D38EF"/>
    <w:rsid w:val="008D56C9"/>
    <w:rsid w:val="008D7468"/>
    <w:rsid w:val="00906CDE"/>
    <w:rsid w:val="0093489F"/>
    <w:rsid w:val="0095303B"/>
    <w:rsid w:val="009563CD"/>
    <w:rsid w:val="0096391A"/>
    <w:rsid w:val="009C58F9"/>
    <w:rsid w:val="009E2673"/>
    <w:rsid w:val="009F0199"/>
    <w:rsid w:val="00A060D6"/>
    <w:rsid w:val="00A30051"/>
    <w:rsid w:val="00A57932"/>
    <w:rsid w:val="00A6209A"/>
    <w:rsid w:val="00A71532"/>
    <w:rsid w:val="00A81E8B"/>
    <w:rsid w:val="00AA1416"/>
    <w:rsid w:val="00AA3C31"/>
    <w:rsid w:val="00AA7891"/>
    <w:rsid w:val="00AB19A0"/>
    <w:rsid w:val="00AB3282"/>
    <w:rsid w:val="00AB7076"/>
    <w:rsid w:val="00AC1EDA"/>
    <w:rsid w:val="00AC387C"/>
    <w:rsid w:val="00B130C2"/>
    <w:rsid w:val="00B40767"/>
    <w:rsid w:val="00B40FD7"/>
    <w:rsid w:val="00B534AF"/>
    <w:rsid w:val="00B71452"/>
    <w:rsid w:val="00B74F6B"/>
    <w:rsid w:val="00B95722"/>
    <w:rsid w:val="00BB41A2"/>
    <w:rsid w:val="00BC0E80"/>
    <w:rsid w:val="00BC3F08"/>
    <w:rsid w:val="00BD49B2"/>
    <w:rsid w:val="00BD5012"/>
    <w:rsid w:val="00BD7C94"/>
    <w:rsid w:val="00BE3F5A"/>
    <w:rsid w:val="00BE506E"/>
    <w:rsid w:val="00C02266"/>
    <w:rsid w:val="00C531F3"/>
    <w:rsid w:val="00C82081"/>
    <w:rsid w:val="00C91D2F"/>
    <w:rsid w:val="00CB11B9"/>
    <w:rsid w:val="00CD0724"/>
    <w:rsid w:val="00CD5310"/>
    <w:rsid w:val="00CE1882"/>
    <w:rsid w:val="00D02634"/>
    <w:rsid w:val="00D0690E"/>
    <w:rsid w:val="00D07F70"/>
    <w:rsid w:val="00D316EC"/>
    <w:rsid w:val="00D569FF"/>
    <w:rsid w:val="00D6424A"/>
    <w:rsid w:val="00D66D34"/>
    <w:rsid w:val="00D7539E"/>
    <w:rsid w:val="00D94C8A"/>
    <w:rsid w:val="00DA196B"/>
    <w:rsid w:val="00DA248C"/>
    <w:rsid w:val="00DA2AE0"/>
    <w:rsid w:val="00DB0C27"/>
    <w:rsid w:val="00DB1EAE"/>
    <w:rsid w:val="00DC21D0"/>
    <w:rsid w:val="00E039B7"/>
    <w:rsid w:val="00E212A3"/>
    <w:rsid w:val="00E24506"/>
    <w:rsid w:val="00E30D87"/>
    <w:rsid w:val="00E51DAF"/>
    <w:rsid w:val="00E8160A"/>
    <w:rsid w:val="00E919D2"/>
    <w:rsid w:val="00EA5A0D"/>
    <w:rsid w:val="00EA6F77"/>
    <w:rsid w:val="00EB419B"/>
    <w:rsid w:val="00EB573D"/>
    <w:rsid w:val="00EB749F"/>
    <w:rsid w:val="00EC3781"/>
    <w:rsid w:val="00EC5590"/>
    <w:rsid w:val="00ED51A6"/>
    <w:rsid w:val="00EE3985"/>
    <w:rsid w:val="00F00856"/>
    <w:rsid w:val="00F01046"/>
    <w:rsid w:val="00F17F62"/>
    <w:rsid w:val="00F32503"/>
    <w:rsid w:val="00F362CB"/>
    <w:rsid w:val="00F36774"/>
    <w:rsid w:val="00F57ECE"/>
    <w:rsid w:val="00F70F56"/>
    <w:rsid w:val="00F75B29"/>
    <w:rsid w:val="00FC2C28"/>
    <w:rsid w:val="00FD28A6"/>
    <w:rsid w:val="00FD7597"/>
    <w:rsid w:val="0737C141"/>
    <w:rsid w:val="08F86A5C"/>
    <w:rsid w:val="0BDBF487"/>
    <w:rsid w:val="2304F08B"/>
    <w:rsid w:val="27D0A02A"/>
    <w:rsid w:val="3597A99B"/>
    <w:rsid w:val="3D9D840E"/>
    <w:rsid w:val="3E801AEF"/>
    <w:rsid w:val="467D81A3"/>
    <w:rsid w:val="48E59AA6"/>
    <w:rsid w:val="4CE0D363"/>
    <w:rsid w:val="54E47A8D"/>
    <w:rsid w:val="56D136D4"/>
    <w:rsid w:val="5E84BE4D"/>
    <w:rsid w:val="640D0090"/>
    <w:rsid w:val="6BBA2415"/>
    <w:rsid w:val="6DB2E082"/>
    <w:rsid w:val="6EA93EE1"/>
    <w:rsid w:val="742854EF"/>
    <w:rsid w:val="76890D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B7115D"/>
  <w15:docId w15:val="{FB5F7075-938C-468E-9C74-5539DE291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uiPriority="33"/>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19"/>
    <w:lsdException w:name="Subtle Reference" w:uiPriority="34" w:qFormat="1"/>
    <w:lsdException w:name="Intense Reference" w:uiPriority="34"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sz w:val="24"/>
      <w:szCs w:val="24"/>
    </w:rPr>
  </w:style>
  <w:style w:type="paragraph" w:styleId="Heading1">
    <w:name w:val="heading 1"/>
    <w:basedOn w:val="Normal"/>
    <w:next w:val="Normal"/>
    <w:link w:val="Heading1Char"/>
    <w:uiPriority w:val="9"/>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eastAsiaTheme="majorEastAsia" w:cstheme="majorBidi"/>
      <w:b/>
      <w:bCs/>
      <w:sz w:val="28"/>
      <w:szCs w:val="28"/>
    </w:rPr>
  </w:style>
  <w:style w:type="character" w:customStyle="1" w:styleId="Heading2Char">
    <w:name w:val="Heading 2 Char"/>
    <w:basedOn w:val="DefaultParagraphFont"/>
    <w:link w:val="Heading2"/>
    <w:uiPriority w:val="9"/>
    <w:rPr>
      <w:rFonts w:eastAsiaTheme="majorEastAsia" w:cstheme="majorBidi"/>
      <w:b/>
      <w:bCs/>
      <w:sz w:val="26"/>
      <w:szCs w:val="26"/>
    </w:rPr>
  </w:style>
  <w:style w:type="character" w:customStyle="1" w:styleId="Heading3Char">
    <w:name w:val="Heading 3 Char"/>
    <w:basedOn w:val="DefaultParagraphFont"/>
    <w:link w:val="Heading3"/>
    <w:uiPriority w:val="9"/>
    <w:rPr>
      <w:rFonts w:eastAsiaTheme="majorEastAsia" w:cstheme="majorBidi"/>
      <w:b/>
      <w:bCs/>
      <w:sz w:val="24"/>
      <w:szCs w:val="24"/>
    </w:rPr>
  </w:style>
  <w:style w:type="character" w:customStyle="1" w:styleId="Heading4Char">
    <w:name w:val="Heading 4 Char"/>
    <w:basedOn w:val="DefaultParagraphFont"/>
    <w:link w:val="Heading4"/>
    <w:uiPriority w:val="9"/>
    <w:rPr>
      <w:rFonts w:eastAsiaTheme="majorEastAsia" w:cstheme="majorBidi"/>
      <w:b/>
      <w:bCs/>
      <w:i/>
      <w:iCs/>
      <w:sz w:val="24"/>
      <w:szCs w:val="24"/>
    </w:rPr>
  </w:style>
  <w:style w:type="character" w:customStyle="1" w:styleId="Heading5Char">
    <w:name w:val="Heading 5 Char"/>
    <w:basedOn w:val="DefaultParagraphFont"/>
    <w:link w:val="Heading5"/>
    <w:uiPriority w:val="9"/>
    <w:rPr>
      <w:rFonts w:eastAsiaTheme="majorEastAsia" w:cstheme="majorBidi"/>
      <w:sz w:val="24"/>
      <w:szCs w:val="24"/>
    </w:rPr>
  </w:style>
  <w:style w:type="character" w:customStyle="1" w:styleId="Heading6Char">
    <w:name w:val="Heading 6 Char"/>
    <w:basedOn w:val="DefaultParagraphFont"/>
    <w:link w:val="Heading6"/>
    <w:uiPriority w:val="9"/>
    <w:rPr>
      <w:rFonts w:eastAsiaTheme="majorEastAsia" w:cstheme="majorBidi"/>
      <w:i/>
      <w:iCs/>
      <w:sz w:val="24"/>
      <w:szCs w:val="24"/>
    </w:rPr>
  </w:style>
  <w:style w:type="character" w:customStyle="1" w:styleId="Heading7Char">
    <w:name w:val="Heading 7 Char"/>
    <w:basedOn w:val="DefaultParagraphFont"/>
    <w:link w:val="Heading7"/>
    <w:uiPriority w:val="9"/>
    <w:rPr>
      <w:rFonts w:eastAsiaTheme="majorEastAsia" w:cstheme="majorBidi"/>
      <w:i/>
      <w:iCs/>
      <w:sz w:val="24"/>
      <w:szCs w:val="24"/>
    </w:rPr>
  </w:style>
  <w:style w:type="character" w:customStyle="1" w:styleId="Heading8Char">
    <w:name w:val="Heading 8 Char"/>
    <w:basedOn w:val="DefaultParagraphFont"/>
    <w:link w:val="Heading8"/>
    <w:uiPriority w:val="9"/>
    <w:rPr>
      <w:rFonts w:eastAsiaTheme="majorEastAsia" w:cstheme="majorBidi"/>
    </w:rPr>
  </w:style>
  <w:style w:type="character" w:customStyle="1" w:styleId="Heading9Char">
    <w:name w:val="Heading 9 Char"/>
    <w:basedOn w:val="DefaultParagraphFont"/>
    <w:link w:val="Heading9"/>
    <w:uiPriority w:val="9"/>
    <w:rPr>
      <w:rFonts w:eastAsiaTheme="majorEastAsia" w:cstheme="majorBidi"/>
      <w:i/>
      <w:iCs/>
      <w:color w:val="404040" w:themeColor="text1" w:themeTint="BF"/>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styleId="Emphasis">
    <w:name w:val="Emphasis"/>
    <w:basedOn w:val="DefaultParagraphFont"/>
    <w:uiPriority w:val="19"/>
    <w:rPr>
      <w:i/>
      <w:iCs/>
    </w:rPr>
  </w:style>
  <w:style w:type="character" w:styleId="Strong">
    <w:name w:val="Strong"/>
    <w:basedOn w:val="DefaultParagraphFont"/>
    <w:uiPriority w:val="34"/>
    <w:rPr>
      <w:b/>
      <w:bCs/>
    </w:rPr>
  </w:style>
  <w:style w:type="paragraph" w:styleId="Quote">
    <w:name w:val="Quote"/>
    <w:basedOn w:val="Normal"/>
    <w:next w:val="BodyTextContinued"/>
    <w:link w:val="QuoteChar"/>
    <w:uiPriority w:val="1"/>
    <w:qFormat/>
    <w:pPr>
      <w:spacing w:after="240"/>
      <w:ind w:left="1440" w:right="1440"/>
    </w:pPr>
    <w:rPr>
      <w:iCs/>
      <w:szCs w:val="20"/>
    </w:rPr>
  </w:style>
  <w:style w:type="paragraph" w:customStyle="1" w:styleId="BodyTextContinued">
    <w:name w:val="Body Text Continued"/>
    <w:basedOn w:val="BodyText"/>
    <w:next w:val="BodyText"/>
    <w:uiPriority w:val="1"/>
    <w:qFormat/>
    <w:pPr>
      <w:ind w:firstLine="0"/>
    </w:pPr>
    <w:rPr>
      <w:rFonts w:eastAsia="Times New Roman"/>
      <w:szCs w:val="24"/>
    </w:rPr>
  </w:style>
  <w:style w:type="paragraph" w:styleId="BodyText">
    <w:name w:val="Body Text"/>
    <w:basedOn w:val="Normal"/>
    <w:link w:val="BodyTextChar"/>
    <w:qFormat/>
    <w:pPr>
      <w:spacing w:after="240"/>
      <w:ind w:firstLine="720"/>
    </w:pPr>
    <w:rPr>
      <w:szCs w:val="20"/>
    </w:rPr>
  </w:style>
  <w:style w:type="character" w:customStyle="1" w:styleId="BodyTextChar">
    <w:name w:val="Body Text Char"/>
    <w:link w:val="BodyText"/>
    <w:rPr>
      <w:sz w:val="24"/>
    </w:rPr>
  </w:style>
  <w:style w:type="character" w:customStyle="1" w:styleId="QuoteChar">
    <w:name w:val="Quote Char"/>
    <w:link w:val="Quote"/>
    <w:uiPriority w:val="1"/>
    <w:rPr>
      <w:iCs/>
      <w:sz w:val="24"/>
    </w:rPr>
  </w:style>
  <w:style w:type="paragraph" w:styleId="BlockText">
    <w:name w:val="Block Text"/>
    <w:basedOn w:val="Normal"/>
    <w:uiPriority w:val="1"/>
    <w:qFormat/>
    <w:pPr>
      <w:spacing w:after="240"/>
    </w:pPr>
    <w:rPr>
      <w:rFonts w:eastAsiaTheme="minorEastAsia"/>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customStyle="1" w:styleId="BodyTextFirstIndentChar">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240"/>
      <w:ind w:firstLine="720"/>
    </w:pPr>
    <w:rPr>
      <w:szCs w:val="20"/>
    </w:rPr>
  </w:style>
  <w:style w:type="character" w:customStyle="1" w:styleId="EndnoteTextChar">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Pr>
      <w:rFonts w:eastAsiaTheme="majorEastAsia"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FootnoteReference">
    <w:name w:val="footnote reference"/>
    <w:basedOn w:val="DefaultParagraphFont"/>
    <w:uiPriority w:val="99"/>
    <w:semiHidden/>
    <w:unhideWhenUsed/>
    <w:rPr>
      <w:bdr w:val="none" w:sz="0" w:space="0" w:color="auto"/>
      <w:vertAlign w:val="superscript"/>
    </w:rPr>
  </w:style>
  <w:style w:type="paragraph" w:styleId="FootnoteText">
    <w:name w:val="footnote text"/>
    <w:basedOn w:val="Normal"/>
    <w:link w:val="FootnoteTextChar"/>
    <w:uiPriority w:val="99"/>
    <w:semiHidden/>
    <w:unhideWhenUsed/>
    <w:pPr>
      <w:spacing w:after="240"/>
      <w:ind w:firstLine="720"/>
    </w:pPr>
    <w:rPr>
      <w:szCs w:val="20"/>
    </w:rPr>
  </w:style>
  <w:style w:type="character" w:customStyle="1" w:styleId="FootnoteTextChar">
    <w:name w:val="Footnote Text Char"/>
    <w:basedOn w:val="DefaultParagraphFont"/>
    <w:link w:val="FootnoteText"/>
    <w:uiPriority w:val="99"/>
    <w:semiHidden/>
    <w:rPr>
      <w:szCs w:val="20"/>
    </w:rPr>
  </w:style>
  <w:style w:type="paragraph" w:customStyle="1" w:styleId="DocID">
    <w:name w:val="DocID"/>
    <w:basedOn w:val="Normal"/>
    <w:link w:val="DocIDChar"/>
    <w:uiPriority w:val="19"/>
    <w:rPr>
      <w:noProof/>
      <w:sz w:val="12"/>
    </w:rPr>
  </w:style>
  <w:style w:type="character" w:customStyle="1" w:styleId="DocIDChar">
    <w:name w:val="DocID Char"/>
    <w:basedOn w:val="DefaultParagraphFont"/>
    <w:link w:val="DocID"/>
    <w:uiPriority w:val="19"/>
    <w:rPr>
      <w:noProof/>
      <w:sz w:val="12"/>
      <w:szCs w:val="24"/>
    </w:rPr>
  </w:style>
  <w:style w:type="paragraph" w:customStyle="1" w:styleId="BlockQuote">
    <w:name w:val="Block Quote"/>
    <w:basedOn w:val="Normal"/>
    <w:uiPriority w:val="1"/>
    <w:qFormat/>
    <w:pPr>
      <w:spacing w:after="240"/>
      <w:ind w:left="1440" w:right="1440"/>
    </w:pPr>
    <w:rPr>
      <w:rFonts w:eastAsia="Times New Roman" w:cs="Courier New"/>
    </w:rPr>
  </w:style>
  <w:style w:type="paragraph" w:customStyle="1" w:styleId="BBlock2">
    <w:name w:val="B Block 2"/>
    <w:basedOn w:val="Normal"/>
    <w:link w:val="BBlock2Char"/>
    <w:uiPriority w:val="1"/>
    <w:qFormat/>
    <w:pPr>
      <w:spacing w:line="480" w:lineRule="auto"/>
      <w:ind w:left="720" w:right="720"/>
    </w:pPr>
  </w:style>
  <w:style w:type="character" w:customStyle="1" w:styleId="BBlock2Char">
    <w:name w:val="B Block 2 Char"/>
    <w:link w:val="BBlock2"/>
    <w:uiPriority w:val="1"/>
    <w:rPr>
      <w:sz w:val="24"/>
      <w:szCs w:val="24"/>
    </w:rPr>
  </w:style>
  <w:style w:type="paragraph" w:customStyle="1" w:styleId="BBlock3">
    <w:name w:val="B Block 3"/>
    <w:basedOn w:val="Normal"/>
    <w:link w:val="BBlock3Char"/>
    <w:uiPriority w:val="1"/>
    <w:qFormat/>
    <w:pPr>
      <w:spacing w:after="240"/>
      <w:ind w:left="720" w:right="720" w:firstLine="720"/>
    </w:pPr>
  </w:style>
  <w:style w:type="character" w:customStyle="1" w:styleId="BBlock3Char">
    <w:name w:val="B Block 3 Char"/>
    <w:link w:val="BBlock3"/>
    <w:uiPriority w:val="1"/>
    <w:rPr>
      <w:sz w:val="24"/>
      <w:szCs w:val="24"/>
    </w:rPr>
  </w:style>
  <w:style w:type="paragraph" w:customStyle="1" w:styleId="BHangingInd2">
    <w:name w:val="B Hanging Ind 2"/>
    <w:basedOn w:val="Normal"/>
    <w:link w:val="BHangingInd2Char"/>
    <w:uiPriority w:val="1"/>
    <w:pPr>
      <w:spacing w:after="240" w:line="480" w:lineRule="auto"/>
      <w:ind w:left="3600" w:hanging="2160"/>
    </w:pPr>
  </w:style>
  <w:style w:type="character" w:customStyle="1" w:styleId="BHangingInd2Char">
    <w:name w:val="B Hanging Ind 2 Char"/>
    <w:link w:val="BHangingInd2"/>
    <w:uiPriority w:val="1"/>
    <w:rPr>
      <w:sz w:val="24"/>
      <w:szCs w:val="24"/>
    </w:rPr>
  </w:style>
  <w:style w:type="paragraph" w:customStyle="1" w:styleId="BHangingInd">
    <w:name w:val="B Hanging Ind"/>
    <w:basedOn w:val="Normal"/>
    <w:link w:val="BHangingIndChar"/>
    <w:uiPriority w:val="1"/>
    <w:qFormat/>
    <w:pPr>
      <w:spacing w:after="240"/>
      <w:ind w:left="2160" w:hanging="2160"/>
    </w:pPr>
  </w:style>
  <w:style w:type="character" w:customStyle="1" w:styleId="BHangingIndChar">
    <w:name w:val="B Hanging Ind Char"/>
    <w:link w:val="BHangingInd"/>
    <w:uiPriority w:val="1"/>
    <w:rPr>
      <w:sz w:val="24"/>
      <w:szCs w:val="24"/>
    </w:rPr>
  </w:style>
  <w:style w:type="paragraph" w:customStyle="1" w:styleId="BFirstInd">
    <w:name w:val="B First Ind"/>
    <w:basedOn w:val="Normal"/>
    <w:link w:val="BFirstIndChar"/>
    <w:uiPriority w:val="1"/>
    <w:qFormat/>
    <w:pPr>
      <w:spacing w:after="240"/>
      <w:ind w:firstLine="720"/>
    </w:pPr>
  </w:style>
  <w:style w:type="character" w:customStyle="1" w:styleId="BFirstIndChar">
    <w:name w:val="B First Ind Char"/>
    <w:link w:val="BFirstInd"/>
    <w:uiPriority w:val="1"/>
    <w:rPr>
      <w:sz w:val="24"/>
      <w:szCs w:val="24"/>
    </w:rPr>
  </w:style>
  <w:style w:type="paragraph" w:customStyle="1" w:styleId="BBlock">
    <w:name w:val="B Block"/>
    <w:basedOn w:val="Normal"/>
    <w:link w:val="BBlockChar"/>
    <w:uiPriority w:val="1"/>
    <w:qFormat/>
    <w:pPr>
      <w:spacing w:after="240"/>
      <w:ind w:left="720" w:right="720"/>
    </w:pPr>
  </w:style>
  <w:style w:type="character" w:customStyle="1" w:styleId="BBlockChar">
    <w:name w:val="B Block Char"/>
    <w:link w:val="BBlock"/>
    <w:uiPriority w:val="1"/>
    <w:rPr>
      <w:sz w:val="24"/>
      <w:szCs w:val="24"/>
    </w:rPr>
  </w:style>
  <w:style w:type="paragraph" w:customStyle="1" w:styleId="BBody2">
    <w:name w:val="B Body 2"/>
    <w:basedOn w:val="Normal"/>
    <w:link w:val="BBody2Char"/>
    <w:uiPriority w:val="1"/>
    <w:qFormat/>
    <w:pPr>
      <w:spacing w:line="480" w:lineRule="auto"/>
    </w:pPr>
  </w:style>
  <w:style w:type="character" w:customStyle="1" w:styleId="BBody2Char">
    <w:name w:val="B Body 2 Char"/>
    <w:link w:val="BBody2"/>
    <w:uiPriority w:val="1"/>
    <w:rPr>
      <w:sz w:val="24"/>
      <w:szCs w:val="24"/>
    </w:rPr>
  </w:style>
  <w:style w:type="paragraph" w:customStyle="1" w:styleId="BBody">
    <w:name w:val="B Body"/>
    <w:basedOn w:val="Normal"/>
    <w:link w:val="BBodyChar"/>
    <w:uiPriority w:val="1"/>
    <w:qFormat/>
    <w:pPr>
      <w:spacing w:after="240"/>
    </w:pPr>
  </w:style>
  <w:style w:type="character" w:customStyle="1" w:styleId="BBodyChar">
    <w:name w:val="B Body Char"/>
    <w:link w:val="BBody"/>
    <w:uiPriority w:val="1"/>
    <w:rPr>
      <w:sz w:val="24"/>
      <w:szCs w:val="24"/>
    </w:rPr>
  </w:style>
  <w:style w:type="paragraph" w:customStyle="1" w:styleId="BFirstInd2">
    <w:name w:val="B First Ind2"/>
    <w:basedOn w:val="Normal"/>
    <w:link w:val="BFirstInd2Char"/>
    <w:uiPriority w:val="1"/>
    <w:qFormat/>
    <w:pPr>
      <w:spacing w:line="480" w:lineRule="auto"/>
      <w:ind w:firstLine="720"/>
    </w:pPr>
  </w:style>
  <w:style w:type="character" w:customStyle="1" w:styleId="BFirstInd2Char">
    <w:name w:val="B First Ind2 Char"/>
    <w:link w:val="BFirstInd2"/>
    <w:uiPriority w:val="1"/>
    <w:rPr>
      <w:sz w:val="24"/>
      <w:szCs w:val="24"/>
    </w:rPr>
  </w:style>
  <w:style w:type="paragraph" w:customStyle="1" w:styleId="BIndent2">
    <w:name w:val="B Indent 2"/>
    <w:basedOn w:val="Normal"/>
    <w:uiPriority w:val="1"/>
    <w:qFormat/>
    <w:pPr>
      <w:spacing w:after="240"/>
      <w:ind w:left="1440"/>
    </w:pPr>
  </w:style>
  <w:style w:type="paragraph" w:customStyle="1" w:styleId="BIndent3">
    <w:name w:val="B Indent 3"/>
    <w:basedOn w:val="Normal"/>
    <w:uiPriority w:val="1"/>
    <w:qFormat/>
    <w:pPr>
      <w:spacing w:after="240"/>
      <w:ind w:left="720" w:firstLine="720"/>
    </w:pPr>
  </w:style>
  <w:style w:type="paragraph" w:customStyle="1" w:styleId="BIndent">
    <w:name w:val="B Indent"/>
    <w:aliases w:val="i"/>
    <w:basedOn w:val="Normal"/>
    <w:qFormat/>
    <w:pPr>
      <w:spacing w:after="240"/>
      <w:ind w:left="720"/>
    </w:pPr>
  </w:style>
  <w:style w:type="paragraph" w:customStyle="1" w:styleId="HEADING1L">
    <w:name w:val="HEADING 1 L"/>
    <w:basedOn w:val="Normal"/>
    <w:next w:val="BFirstInd"/>
    <w:uiPriority w:val="1"/>
    <w:qFormat/>
    <w:pPr>
      <w:keepNext/>
      <w:keepLines/>
      <w:spacing w:after="360"/>
      <w:outlineLvl w:val="0"/>
    </w:pPr>
    <w:rPr>
      <w:b/>
      <w:caps/>
    </w:rPr>
  </w:style>
  <w:style w:type="paragraph" w:customStyle="1" w:styleId="Heading2L">
    <w:name w:val="Heading 2 L"/>
    <w:basedOn w:val="Normal"/>
    <w:next w:val="BFirstInd"/>
    <w:uiPriority w:val="1"/>
    <w:qFormat/>
    <w:pPr>
      <w:keepNext/>
      <w:keepLines/>
      <w:spacing w:after="360"/>
      <w:outlineLvl w:val="1"/>
    </w:pPr>
  </w:style>
  <w:style w:type="paragraph" w:customStyle="1" w:styleId="HEADING3C">
    <w:name w:val="HEADING 3 C"/>
    <w:basedOn w:val="Normal"/>
    <w:next w:val="BFirstInd"/>
    <w:uiPriority w:val="1"/>
    <w:qFormat/>
    <w:pPr>
      <w:keepNext/>
      <w:keepLines/>
      <w:spacing w:after="360"/>
      <w:jc w:val="center"/>
      <w:outlineLvl w:val="0"/>
    </w:pPr>
    <w:rPr>
      <w:b/>
      <w:caps/>
    </w:rPr>
  </w:style>
  <w:style w:type="paragraph" w:customStyle="1" w:styleId="Heading4C">
    <w:name w:val="Heading 4 C"/>
    <w:basedOn w:val="Normal"/>
    <w:next w:val="BFirstInd"/>
    <w:uiPriority w:val="1"/>
    <w:qFormat/>
    <w:pPr>
      <w:keepNext/>
      <w:keepLines/>
      <w:spacing w:after="360"/>
      <w:jc w:val="center"/>
      <w:outlineLvl w:val="1"/>
    </w:pPr>
  </w:style>
  <w:style w:type="paragraph" w:customStyle="1" w:styleId="HEADING5R">
    <w:name w:val="HEADING 5 R"/>
    <w:basedOn w:val="Normal"/>
    <w:next w:val="BFirstInd"/>
    <w:uiPriority w:val="1"/>
    <w:qFormat/>
    <w:pPr>
      <w:keepNext/>
      <w:keepLines/>
      <w:spacing w:after="360"/>
      <w:jc w:val="right"/>
      <w:outlineLvl w:val="0"/>
    </w:pPr>
    <w:rPr>
      <w:b/>
      <w:caps/>
    </w:rPr>
  </w:style>
  <w:style w:type="paragraph" w:customStyle="1" w:styleId="Heading6R">
    <w:name w:val="Heading 6 R"/>
    <w:basedOn w:val="Normal"/>
    <w:next w:val="BFirstInd"/>
    <w:uiPriority w:val="1"/>
    <w:qFormat/>
    <w:pPr>
      <w:keepNext/>
      <w:keepLines/>
      <w:spacing w:after="360"/>
      <w:jc w:val="right"/>
      <w:outlineLvl w:val="1"/>
    </w:pPr>
  </w:style>
  <w:style w:type="paragraph" w:customStyle="1" w:styleId="MHeader">
    <w:name w:val="M Header"/>
    <w:basedOn w:val="Normal"/>
    <w:uiPriority w:val="1"/>
    <w:qFormat/>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pPr>
      <w:pBdr>
        <w:bottom w:val="single" w:sz="6" w:space="22" w:color="auto"/>
      </w:pBdr>
      <w:spacing w:after="400"/>
    </w:pPr>
  </w:style>
  <w:style w:type="paragraph" w:customStyle="1" w:styleId="SigName">
    <w:name w:val="Sig Name"/>
    <w:basedOn w:val="Normal"/>
    <w:next w:val="Normal"/>
    <w:uiPriority w:val="1"/>
    <w:qFormat/>
    <w:pPr>
      <w:keepNext/>
      <w:keepLines/>
      <w:tabs>
        <w:tab w:val="left" w:pos="720"/>
      </w:tabs>
      <w:spacing w:after="240"/>
    </w:pPr>
  </w:style>
  <w:style w:type="paragraph" w:customStyle="1" w:styleId="SigLine">
    <w:name w:val="Sig Line"/>
    <w:basedOn w:val="Normal"/>
    <w:next w:val="SigName"/>
    <w:uiPriority w:val="1"/>
    <w:qFormat/>
    <w:pPr>
      <w:tabs>
        <w:tab w:val="right" w:leader="underscore" w:pos="4752"/>
      </w:tabs>
    </w:pPr>
  </w:style>
  <w:style w:type="paragraph" w:customStyle="1" w:styleId="SigCaption">
    <w:name w:val="Sig Caption"/>
    <w:basedOn w:val="Normal"/>
    <w:next w:val="SigLine"/>
    <w:link w:val="SigCaptionChar"/>
    <w:uiPriority w:val="1"/>
    <w:qFormat/>
    <w:pPr>
      <w:keepNext/>
      <w:keepLines/>
      <w:tabs>
        <w:tab w:val="left" w:pos="720"/>
      </w:tabs>
      <w:spacing w:after="840"/>
    </w:pPr>
  </w:style>
  <w:style w:type="character" w:customStyle="1" w:styleId="SigCaptionChar">
    <w:name w:val="Sig Caption Char"/>
    <w:link w:val="SigCaption"/>
    <w:uiPriority w:val="1"/>
    <w:rPr>
      <w:sz w:val="24"/>
      <w:szCs w:val="24"/>
    </w:rPr>
  </w:style>
  <w:style w:type="paragraph" w:styleId="TOCHeading">
    <w:name w:val="TOC Heading"/>
    <w:basedOn w:val="Heading1"/>
    <w:next w:val="Normal"/>
    <w:uiPriority w:val="39"/>
    <w:semiHidden/>
    <w:unhideWhenUsed/>
    <w:qFormat/>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pPr>
      <w:spacing w:after="240"/>
      <w:ind w:firstLine="720"/>
    </w:pPr>
  </w:style>
  <w:style w:type="character" w:customStyle="1" w:styleId="ArticleCont1Char">
    <w:name w:val="Article Cont 1 Char"/>
    <w:link w:val="ArticleCont1"/>
    <w:uiPriority w:val="20"/>
    <w:rPr>
      <w:sz w:val="24"/>
      <w:szCs w:val="24"/>
    </w:rPr>
  </w:style>
  <w:style w:type="paragraph" w:customStyle="1" w:styleId="ArticleCont2">
    <w:name w:val="Article Cont 2"/>
    <w:basedOn w:val="ArticleCont1"/>
    <w:link w:val="ArticleCont2Char"/>
    <w:uiPriority w:val="20"/>
    <w:unhideWhenUsed/>
  </w:style>
  <w:style w:type="character" w:customStyle="1" w:styleId="ArticleCont2Char">
    <w:name w:val="Article Cont 2 Char"/>
    <w:link w:val="ArticleCont2"/>
    <w:uiPriority w:val="20"/>
    <w:rPr>
      <w:sz w:val="24"/>
      <w:szCs w:val="24"/>
    </w:rPr>
  </w:style>
  <w:style w:type="paragraph" w:customStyle="1" w:styleId="ArticleCont3">
    <w:name w:val="Article Cont 3"/>
    <w:basedOn w:val="ArticleCont2"/>
    <w:link w:val="ArticleCont3Char"/>
    <w:uiPriority w:val="20"/>
    <w:unhideWhenUsed/>
    <w:pPr>
      <w:ind w:firstLine="1440"/>
    </w:pPr>
  </w:style>
  <w:style w:type="character" w:customStyle="1" w:styleId="ArticleCont3Char">
    <w:name w:val="Article Cont 3 Char"/>
    <w:link w:val="ArticleCont3"/>
    <w:uiPriority w:val="20"/>
    <w:rPr>
      <w:sz w:val="24"/>
      <w:szCs w:val="24"/>
    </w:rPr>
  </w:style>
  <w:style w:type="paragraph" w:customStyle="1" w:styleId="ArticleCont4">
    <w:name w:val="Article Cont 4"/>
    <w:basedOn w:val="ArticleCont3"/>
    <w:link w:val="ArticleCont4Char"/>
    <w:uiPriority w:val="20"/>
    <w:unhideWhenUsed/>
    <w:pPr>
      <w:ind w:firstLine="2160"/>
    </w:pPr>
  </w:style>
  <w:style w:type="character" w:customStyle="1" w:styleId="ArticleCont4Char">
    <w:name w:val="Article Cont 4 Char"/>
    <w:link w:val="ArticleCont4"/>
    <w:uiPriority w:val="20"/>
    <w:rPr>
      <w:sz w:val="24"/>
      <w:szCs w:val="24"/>
    </w:rPr>
  </w:style>
  <w:style w:type="paragraph" w:customStyle="1" w:styleId="ArticleCont5">
    <w:name w:val="Article Cont 5"/>
    <w:basedOn w:val="ArticleCont4"/>
    <w:link w:val="ArticleCont5Char"/>
    <w:uiPriority w:val="20"/>
    <w:unhideWhenUsed/>
    <w:pPr>
      <w:ind w:firstLine="2880"/>
    </w:pPr>
  </w:style>
  <w:style w:type="character" w:customStyle="1" w:styleId="ArticleCont5Char">
    <w:name w:val="Article Cont 5 Char"/>
    <w:link w:val="ArticleCont5"/>
    <w:uiPriority w:val="20"/>
    <w:rPr>
      <w:sz w:val="24"/>
      <w:szCs w:val="24"/>
    </w:rPr>
  </w:style>
  <w:style w:type="paragraph" w:customStyle="1" w:styleId="ArticleCont6">
    <w:name w:val="Article Cont 6"/>
    <w:basedOn w:val="ArticleCont5"/>
    <w:link w:val="ArticleCont6Char"/>
    <w:uiPriority w:val="20"/>
    <w:unhideWhenUsed/>
    <w:pPr>
      <w:ind w:firstLine="1440"/>
    </w:pPr>
  </w:style>
  <w:style w:type="character" w:customStyle="1" w:styleId="ArticleCont6Char">
    <w:name w:val="Article Cont 6 Char"/>
    <w:link w:val="ArticleCont6"/>
    <w:uiPriority w:val="20"/>
    <w:rPr>
      <w:sz w:val="24"/>
      <w:szCs w:val="24"/>
    </w:rPr>
  </w:style>
  <w:style w:type="paragraph" w:customStyle="1" w:styleId="ArticleCont7">
    <w:name w:val="Article Cont 7"/>
    <w:basedOn w:val="ArticleCont6"/>
    <w:link w:val="ArticleCont7Char"/>
    <w:uiPriority w:val="20"/>
    <w:unhideWhenUsed/>
    <w:pPr>
      <w:ind w:firstLine="2160"/>
    </w:pPr>
  </w:style>
  <w:style w:type="character" w:customStyle="1" w:styleId="ArticleCont7Char">
    <w:name w:val="Article Cont 7 Char"/>
    <w:link w:val="ArticleCont7"/>
    <w:uiPriority w:val="20"/>
    <w:rPr>
      <w:sz w:val="24"/>
      <w:szCs w:val="24"/>
    </w:rPr>
  </w:style>
  <w:style w:type="paragraph" w:customStyle="1" w:styleId="ArticleCont8">
    <w:name w:val="Article Cont 8"/>
    <w:basedOn w:val="ArticleCont7"/>
    <w:link w:val="ArticleCont8Char"/>
    <w:uiPriority w:val="20"/>
    <w:unhideWhenUsed/>
    <w:pPr>
      <w:ind w:firstLine="2880"/>
    </w:pPr>
  </w:style>
  <w:style w:type="character" w:customStyle="1" w:styleId="ArticleCont8Char">
    <w:name w:val="Article Cont 8 Char"/>
    <w:link w:val="ArticleCont8"/>
    <w:uiPriority w:val="20"/>
    <w:rPr>
      <w:sz w:val="24"/>
      <w:szCs w:val="24"/>
    </w:rPr>
  </w:style>
  <w:style w:type="paragraph" w:customStyle="1" w:styleId="ArticleCont9">
    <w:name w:val="Article Cont 9"/>
    <w:basedOn w:val="ArticleCont8"/>
    <w:link w:val="ArticleCont9Char"/>
    <w:uiPriority w:val="20"/>
    <w:unhideWhenUsed/>
    <w:pPr>
      <w:ind w:firstLine="3600"/>
    </w:pPr>
  </w:style>
  <w:style w:type="character" w:customStyle="1" w:styleId="ArticleCont9Char">
    <w:name w:val="Article Cont 9 Char"/>
    <w:link w:val="ArticleCont9"/>
    <w:uiPriority w:val="20"/>
    <w:rPr>
      <w:sz w:val="24"/>
      <w:szCs w:val="24"/>
    </w:rPr>
  </w:style>
  <w:style w:type="paragraph" w:customStyle="1" w:styleId="Article2Cont1">
    <w:name w:val="Article2 Cont 1"/>
    <w:basedOn w:val="Normal"/>
    <w:link w:val="Article2Cont1Char"/>
    <w:uiPriority w:val="21"/>
    <w:unhideWhenUsed/>
    <w:pPr>
      <w:spacing w:after="240"/>
      <w:ind w:firstLine="720"/>
    </w:pPr>
  </w:style>
  <w:style w:type="character" w:customStyle="1" w:styleId="Article2Cont1Char">
    <w:name w:val="Article2 Cont 1 Char"/>
    <w:link w:val="Article2Cont1"/>
    <w:uiPriority w:val="21"/>
    <w:rPr>
      <w:sz w:val="24"/>
      <w:szCs w:val="24"/>
    </w:rPr>
  </w:style>
  <w:style w:type="paragraph" w:customStyle="1" w:styleId="Article2Cont2">
    <w:name w:val="Article2 Cont 2"/>
    <w:basedOn w:val="Article2Cont1"/>
    <w:link w:val="Article2Cont2Char"/>
    <w:uiPriority w:val="21"/>
    <w:unhideWhenUsed/>
  </w:style>
  <w:style w:type="character" w:customStyle="1" w:styleId="Article2Cont2Char">
    <w:name w:val="Article2 Cont 2 Char"/>
    <w:link w:val="Article2Cont2"/>
    <w:uiPriority w:val="21"/>
    <w:rPr>
      <w:sz w:val="24"/>
      <w:szCs w:val="24"/>
    </w:rPr>
  </w:style>
  <w:style w:type="paragraph" w:customStyle="1" w:styleId="Article2Cont3">
    <w:name w:val="Article2 Cont 3"/>
    <w:basedOn w:val="Article2Cont2"/>
    <w:link w:val="Article2Cont3Char"/>
    <w:uiPriority w:val="21"/>
    <w:unhideWhenUsed/>
    <w:pPr>
      <w:ind w:firstLine="1440"/>
    </w:pPr>
  </w:style>
  <w:style w:type="character" w:customStyle="1" w:styleId="Article2Cont3Char">
    <w:name w:val="Article2 Cont 3 Char"/>
    <w:link w:val="Article2Cont3"/>
    <w:uiPriority w:val="21"/>
    <w:rPr>
      <w:sz w:val="24"/>
      <w:szCs w:val="24"/>
    </w:rPr>
  </w:style>
  <w:style w:type="paragraph" w:customStyle="1" w:styleId="Article2Cont4">
    <w:name w:val="Article2 Cont 4"/>
    <w:basedOn w:val="Article2Cont3"/>
    <w:link w:val="Article2Cont4Char"/>
    <w:uiPriority w:val="21"/>
    <w:unhideWhenUsed/>
    <w:pPr>
      <w:ind w:firstLine="2160"/>
    </w:pPr>
  </w:style>
  <w:style w:type="character" w:customStyle="1" w:styleId="Article2Cont4Char">
    <w:name w:val="Article2 Cont 4 Char"/>
    <w:link w:val="Article2Cont4"/>
    <w:uiPriority w:val="21"/>
    <w:rPr>
      <w:sz w:val="24"/>
      <w:szCs w:val="24"/>
    </w:rPr>
  </w:style>
  <w:style w:type="paragraph" w:customStyle="1" w:styleId="Article2Cont5">
    <w:name w:val="Article2 Cont 5"/>
    <w:basedOn w:val="Article2Cont4"/>
    <w:link w:val="Article2Cont5Char"/>
    <w:uiPriority w:val="21"/>
    <w:unhideWhenUsed/>
    <w:pPr>
      <w:ind w:firstLine="2880"/>
    </w:pPr>
  </w:style>
  <w:style w:type="character" w:customStyle="1" w:styleId="Article2Cont5Char">
    <w:name w:val="Article2 Cont 5 Char"/>
    <w:link w:val="Article2Cont5"/>
    <w:uiPriority w:val="21"/>
    <w:rPr>
      <w:sz w:val="24"/>
      <w:szCs w:val="24"/>
    </w:rPr>
  </w:style>
  <w:style w:type="paragraph" w:customStyle="1" w:styleId="Article2Cont6">
    <w:name w:val="Article2 Cont 6"/>
    <w:basedOn w:val="Article2Cont5"/>
    <w:link w:val="Article2Cont6Char"/>
    <w:uiPriority w:val="21"/>
    <w:unhideWhenUsed/>
    <w:pPr>
      <w:ind w:firstLine="3600"/>
    </w:pPr>
  </w:style>
  <w:style w:type="character" w:customStyle="1" w:styleId="Article2Cont6Char">
    <w:name w:val="Article2 Cont 6 Char"/>
    <w:link w:val="Article2Cont6"/>
    <w:uiPriority w:val="21"/>
    <w:rPr>
      <w:sz w:val="24"/>
      <w:szCs w:val="24"/>
    </w:rPr>
  </w:style>
  <w:style w:type="paragraph" w:customStyle="1" w:styleId="Article2Cont7">
    <w:name w:val="Article2 Cont 7"/>
    <w:basedOn w:val="Article2Cont6"/>
    <w:link w:val="Article2Cont7Char"/>
    <w:uiPriority w:val="21"/>
    <w:unhideWhenUsed/>
    <w:pPr>
      <w:ind w:firstLine="4320"/>
    </w:pPr>
  </w:style>
  <w:style w:type="character" w:customStyle="1" w:styleId="Article2Cont7Char">
    <w:name w:val="Article2 Cont 7 Char"/>
    <w:link w:val="Article2Cont7"/>
    <w:uiPriority w:val="21"/>
    <w:rPr>
      <w:sz w:val="24"/>
      <w:szCs w:val="24"/>
    </w:rPr>
  </w:style>
  <w:style w:type="paragraph" w:customStyle="1" w:styleId="Article2Cont8">
    <w:name w:val="Article2 Cont 8"/>
    <w:basedOn w:val="Article2Cont7"/>
    <w:link w:val="Article2Cont8Char"/>
    <w:uiPriority w:val="21"/>
    <w:unhideWhenUsed/>
    <w:pPr>
      <w:ind w:firstLine="5040"/>
    </w:pPr>
  </w:style>
  <w:style w:type="character" w:customStyle="1" w:styleId="Article2Cont8Char">
    <w:name w:val="Article2 Cont 8 Char"/>
    <w:link w:val="Article2Cont8"/>
    <w:uiPriority w:val="21"/>
    <w:rPr>
      <w:sz w:val="24"/>
      <w:szCs w:val="24"/>
    </w:rPr>
  </w:style>
  <w:style w:type="paragraph" w:customStyle="1" w:styleId="Article2Cont9">
    <w:name w:val="Article2 Cont 9"/>
    <w:basedOn w:val="Article2Cont8"/>
    <w:link w:val="Article2Cont9Char"/>
    <w:uiPriority w:val="21"/>
    <w:unhideWhenUsed/>
    <w:pPr>
      <w:ind w:firstLine="5760"/>
    </w:pPr>
  </w:style>
  <w:style w:type="character" w:customStyle="1" w:styleId="Article2Cont9Char">
    <w:name w:val="Article2 Cont 9 Char"/>
    <w:link w:val="Article2Cont9"/>
    <w:uiPriority w:val="21"/>
    <w:rPr>
      <w:sz w:val="24"/>
      <w:szCs w:val="24"/>
    </w:rPr>
  </w:style>
  <w:style w:type="paragraph" w:customStyle="1" w:styleId="Article3Cont1">
    <w:name w:val="Article3 Cont 1"/>
    <w:basedOn w:val="Normal"/>
    <w:link w:val="Article3Cont1Char"/>
    <w:uiPriority w:val="22"/>
    <w:unhideWhenUsed/>
    <w:pPr>
      <w:spacing w:after="240"/>
      <w:ind w:firstLine="720"/>
    </w:pPr>
  </w:style>
  <w:style w:type="character" w:customStyle="1" w:styleId="Article3Cont1Char">
    <w:name w:val="Article3 Cont 1 Char"/>
    <w:link w:val="Article3Cont1"/>
    <w:uiPriority w:val="22"/>
    <w:rPr>
      <w:sz w:val="24"/>
      <w:szCs w:val="24"/>
    </w:rPr>
  </w:style>
  <w:style w:type="paragraph" w:customStyle="1" w:styleId="Article3Cont2">
    <w:name w:val="Article3 Cont 2"/>
    <w:basedOn w:val="Article3Cont1"/>
    <w:link w:val="Article3Cont2Char"/>
    <w:uiPriority w:val="22"/>
    <w:unhideWhenUsed/>
  </w:style>
  <w:style w:type="character" w:customStyle="1" w:styleId="Article3Cont2Char">
    <w:name w:val="Article3 Cont 2 Char"/>
    <w:link w:val="Article3Cont2"/>
    <w:uiPriority w:val="22"/>
    <w:rPr>
      <w:sz w:val="24"/>
      <w:szCs w:val="24"/>
    </w:rPr>
  </w:style>
  <w:style w:type="paragraph" w:customStyle="1" w:styleId="Article3Cont3">
    <w:name w:val="Article3 Cont 3"/>
    <w:basedOn w:val="Article3Cont2"/>
    <w:link w:val="Article3Cont3Char"/>
    <w:uiPriority w:val="22"/>
    <w:unhideWhenUsed/>
    <w:pPr>
      <w:ind w:firstLine="1440"/>
    </w:pPr>
  </w:style>
  <w:style w:type="character" w:customStyle="1" w:styleId="Article3Cont3Char">
    <w:name w:val="Article3 Cont 3 Char"/>
    <w:link w:val="Article3Cont3"/>
    <w:uiPriority w:val="22"/>
    <w:rPr>
      <w:sz w:val="24"/>
      <w:szCs w:val="24"/>
    </w:rPr>
  </w:style>
  <w:style w:type="paragraph" w:customStyle="1" w:styleId="Article3Cont4">
    <w:name w:val="Article3 Cont 4"/>
    <w:basedOn w:val="Article3Cont3"/>
    <w:link w:val="Article3Cont4Char"/>
    <w:uiPriority w:val="22"/>
    <w:unhideWhenUsed/>
    <w:pPr>
      <w:ind w:firstLine="2160"/>
    </w:pPr>
  </w:style>
  <w:style w:type="character" w:customStyle="1" w:styleId="Article3Cont4Char">
    <w:name w:val="Article3 Cont 4 Char"/>
    <w:link w:val="Article3Cont4"/>
    <w:uiPriority w:val="22"/>
    <w:rPr>
      <w:sz w:val="24"/>
      <w:szCs w:val="24"/>
    </w:rPr>
  </w:style>
  <w:style w:type="paragraph" w:customStyle="1" w:styleId="Article3Cont5">
    <w:name w:val="Article3 Cont 5"/>
    <w:basedOn w:val="Article3Cont4"/>
    <w:link w:val="Article3Cont5Char"/>
    <w:uiPriority w:val="22"/>
    <w:unhideWhenUsed/>
    <w:pPr>
      <w:ind w:firstLine="2880"/>
    </w:pPr>
  </w:style>
  <w:style w:type="character" w:customStyle="1" w:styleId="Article3Cont5Char">
    <w:name w:val="Article3 Cont 5 Char"/>
    <w:link w:val="Article3Cont5"/>
    <w:uiPriority w:val="22"/>
    <w:rPr>
      <w:sz w:val="24"/>
      <w:szCs w:val="24"/>
    </w:rPr>
  </w:style>
  <w:style w:type="paragraph" w:customStyle="1" w:styleId="Article3Cont6">
    <w:name w:val="Article3 Cont 6"/>
    <w:basedOn w:val="Article3Cont5"/>
    <w:link w:val="Article3Cont6Char"/>
    <w:uiPriority w:val="22"/>
    <w:unhideWhenUsed/>
    <w:pPr>
      <w:ind w:firstLine="3600"/>
    </w:pPr>
  </w:style>
  <w:style w:type="character" w:customStyle="1" w:styleId="Article3Cont6Char">
    <w:name w:val="Article3 Cont 6 Char"/>
    <w:link w:val="Article3Cont6"/>
    <w:uiPriority w:val="22"/>
    <w:rPr>
      <w:sz w:val="24"/>
      <w:szCs w:val="24"/>
    </w:rPr>
  </w:style>
  <w:style w:type="paragraph" w:customStyle="1" w:styleId="Article3Cont7">
    <w:name w:val="Article3 Cont 7"/>
    <w:basedOn w:val="Article3Cont6"/>
    <w:link w:val="Article3Cont7Char"/>
    <w:uiPriority w:val="22"/>
    <w:unhideWhenUsed/>
    <w:pPr>
      <w:ind w:firstLine="4320"/>
    </w:pPr>
  </w:style>
  <w:style w:type="character" w:customStyle="1" w:styleId="Article3Cont7Char">
    <w:name w:val="Article3 Cont 7 Char"/>
    <w:link w:val="Article3Cont7"/>
    <w:uiPriority w:val="22"/>
    <w:rPr>
      <w:sz w:val="24"/>
      <w:szCs w:val="24"/>
    </w:rPr>
  </w:style>
  <w:style w:type="paragraph" w:customStyle="1" w:styleId="Article3Cont8">
    <w:name w:val="Article3 Cont 8"/>
    <w:basedOn w:val="Article3Cont7"/>
    <w:link w:val="Article3Cont8Char"/>
    <w:uiPriority w:val="22"/>
    <w:unhideWhenUsed/>
    <w:pPr>
      <w:ind w:firstLine="5040"/>
    </w:pPr>
  </w:style>
  <w:style w:type="character" w:customStyle="1" w:styleId="Article3Cont8Char">
    <w:name w:val="Article3 Cont 8 Char"/>
    <w:link w:val="Article3Cont8"/>
    <w:uiPriority w:val="22"/>
    <w:rPr>
      <w:sz w:val="24"/>
      <w:szCs w:val="24"/>
    </w:rPr>
  </w:style>
  <w:style w:type="paragraph" w:customStyle="1" w:styleId="Article3Cont9">
    <w:name w:val="Article3 Cont 9"/>
    <w:basedOn w:val="Article3Cont8"/>
    <w:link w:val="Article3Cont9Char"/>
    <w:uiPriority w:val="22"/>
    <w:unhideWhenUsed/>
    <w:pPr>
      <w:ind w:firstLine="5760"/>
    </w:pPr>
  </w:style>
  <w:style w:type="character" w:customStyle="1" w:styleId="Article3Cont9Char">
    <w:name w:val="Article3 Cont 9 Char"/>
    <w:link w:val="Article3Cont9"/>
    <w:uiPriority w:val="22"/>
    <w:rPr>
      <w:sz w:val="24"/>
      <w:szCs w:val="24"/>
    </w:rPr>
  </w:style>
  <w:style w:type="paragraph" w:customStyle="1" w:styleId="BulletCont1">
    <w:name w:val="Bullet Cont 1"/>
    <w:basedOn w:val="Normal"/>
    <w:link w:val="BulletCont1Char"/>
    <w:uiPriority w:val="23"/>
    <w:unhideWhenUsed/>
    <w:pPr>
      <w:spacing w:after="240"/>
      <w:ind w:left="360"/>
    </w:pPr>
  </w:style>
  <w:style w:type="character" w:customStyle="1" w:styleId="BulletCont1Char">
    <w:name w:val="Bullet Cont 1 Char"/>
    <w:link w:val="BulletCont1"/>
    <w:uiPriority w:val="23"/>
    <w:rPr>
      <w:sz w:val="24"/>
      <w:szCs w:val="24"/>
    </w:rPr>
  </w:style>
  <w:style w:type="paragraph" w:customStyle="1" w:styleId="BulletCont2">
    <w:name w:val="Bullet Cont 2"/>
    <w:basedOn w:val="BulletCont1"/>
    <w:link w:val="BulletCont2Char"/>
    <w:uiPriority w:val="23"/>
    <w:unhideWhenUsed/>
    <w:pPr>
      <w:ind w:left="720"/>
    </w:pPr>
  </w:style>
  <w:style w:type="character" w:customStyle="1" w:styleId="BulletCont2Char">
    <w:name w:val="Bullet Cont 2 Char"/>
    <w:link w:val="BulletCont2"/>
    <w:uiPriority w:val="23"/>
    <w:rPr>
      <w:sz w:val="24"/>
      <w:szCs w:val="24"/>
    </w:rPr>
  </w:style>
  <w:style w:type="paragraph" w:customStyle="1" w:styleId="BulletCont3">
    <w:name w:val="Bullet Cont 3"/>
    <w:basedOn w:val="BulletCont2"/>
    <w:link w:val="BulletCont3Char"/>
    <w:uiPriority w:val="23"/>
    <w:unhideWhenUsed/>
    <w:pPr>
      <w:ind w:left="1080"/>
    </w:pPr>
  </w:style>
  <w:style w:type="character" w:customStyle="1" w:styleId="BulletCont3Char">
    <w:name w:val="Bullet Cont 3 Char"/>
    <w:link w:val="BulletCont3"/>
    <w:uiPriority w:val="23"/>
    <w:rPr>
      <w:sz w:val="24"/>
      <w:szCs w:val="24"/>
    </w:rPr>
  </w:style>
  <w:style w:type="paragraph" w:customStyle="1" w:styleId="BulletCont4">
    <w:name w:val="Bullet Cont 4"/>
    <w:basedOn w:val="BulletCont3"/>
    <w:link w:val="BulletCont4Char"/>
    <w:uiPriority w:val="23"/>
    <w:unhideWhenUsed/>
    <w:pPr>
      <w:ind w:left="1440"/>
    </w:pPr>
  </w:style>
  <w:style w:type="character" w:customStyle="1" w:styleId="BulletCont4Char">
    <w:name w:val="Bullet Cont 4 Char"/>
    <w:link w:val="BulletCont4"/>
    <w:uiPriority w:val="23"/>
    <w:rPr>
      <w:sz w:val="24"/>
      <w:szCs w:val="24"/>
    </w:rPr>
  </w:style>
  <w:style w:type="paragraph" w:customStyle="1" w:styleId="BulletCont5">
    <w:name w:val="Bullet Cont 5"/>
    <w:basedOn w:val="BulletCont4"/>
    <w:link w:val="BulletCont5Char"/>
    <w:uiPriority w:val="23"/>
    <w:unhideWhenUsed/>
    <w:pPr>
      <w:ind w:left="1800"/>
    </w:pPr>
  </w:style>
  <w:style w:type="character" w:customStyle="1" w:styleId="BulletCont5Char">
    <w:name w:val="Bullet Cont 5 Char"/>
    <w:link w:val="BulletCont5"/>
    <w:uiPriority w:val="23"/>
    <w:rPr>
      <w:sz w:val="24"/>
      <w:szCs w:val="24"/>
    </w:rPr>
  </w:style>
  <w:style w:type="paragraph" w:customStyle="1" w:styleId="BulletCont6">
    <w:name w:val="Bullet Cont 6"/>
    <w:basedOn w:val="BulletCont5"/>
    <w:link w:val="BulletCont6Char"/>
    <w:uiPriority w:val="23"/>
    <w:unhideWhenUsed/>
    <w:pPr>
      <w:ind w:left="2160"/>
    </w:pPr>
  </w:style>
  <w:style w:type="character" w:customStyle="1" w:styleId="BulletCont6Char">
    <w:name w:val="Bullet Cont 6 Char"/>
    <w:link w:val="BulletCont6"/>
    <w:uiPriority w:val="23"/>
    <w:rPr>
      <w:sz w:val="24"/>
      <w:szCs w:val="24"/>
    </w:rPr>
  </w:style>
  <w:style w:type="paragraph" w:customStyle="1" w:styleId="BulletCont7">
    <w:name w:val="Bullet Cont 7"/>
    <w:basedOn w:val="BulletCont6"/>
    <w:link w:val="BulletCont7Char"/>
    <w:uiPriority w:val="23"/>
    <w:unhideWhenUsed/>
    <w:pPr>
      <w:ind w:left="2520"/>
    </w:pPr>
  </w:style>
  <w:style w:type="character" w:customStyle="1" w:styleId="BulletCont7Char">
    <w:name w:val="Bullet Cont 7 Char"/>
    <w:link w:val="BulletCont7"/>
    <w:uiPriority w:val="23"/>
    <w:rPr>
      <w:sz w:val="24"/>
      <w:szCs w:val="24"/>
    </w:rPr>
  </w:style>
  <w:style w:type="paragraph" w:customStyle="1" w:styleId="BulletCont8">
    <w:name w:val="Bullet Cont 8"/>
    <w:basedOn w:val="BulletCont7"/>
    <w:link w:val="BulletCont8Char"/>
    <w:uiPriority w:val="23"/>
    <w:unhideWhenUsed/>
    <w:pPr>
      <w:ind w:left="2880"/>
    </w:pPr>
  </w:style>
  <w:style w:type="character" w:customStyle="1" w:styleId="BulletCont8Char">
    <w:name w:val="Bullet Cont 8 Char"/>
    <w:link w:val="BulletCont8"/>
    <w:uiPriority w:val="23"/>
    <w:rPr>
      <w:sz w:val="24"/>
      <w:szCs w:val="24"/>
    </w:rPr>
  </w:style>
  <w:style w:type="paragraph" w:customStyle="1" w:styleId="BulletCont9">
    <w:name w:val="Bullet Cont 9"/>
    <w:basedOn w:val="BulletCont8"/>
    <w:link w:val="BulletCont9Char"/>
    <w:uiPriority w:val="23"/>
    <w:unhideWhenUsed/>
    <w:pPr>
      <w:ind w:left="3240"/>
    </w:pPr>
  </w:style>
  <w:style w:type="character" w:customStyle="1" w:styleId="BulletCont9Char">
    <w:name w:val="Bullet Cont 9 Char"/>
    <w:link w:val="BulletCont9"/>
    <w:uiPriority w:val="23"/>
    <w:rPr>
      <w:sz w:val="24"/>
      <w:szCs w:val="24"/>
    </w:rPr>
  </w:style>
  <w:style w:type="paragraph" w:customStyle="1" w:styleId="IndentedCont1">
    <w:name w:val="Indented Cont 1"/>
    <w:basedOn w:val="Normal"/>
    <w:uiPriority w:val="24"/>
    <w:unhideWhenUsed/>
    <w:pPr>
      <w:spacing w:after="240"/>
      <w:ind w:left="720"/>
    </w:pPr>
    <w:rPr>
      <w:szCs w:val="20"/>
    </w:rPr>
  </w:style>
  <w:style w:type="paragraph" w:customStyle="1" w:styleId="IndentedCont2">
    <w:name w:val="Indented Cont 2"/>
    <w:basedOn w:val="IndentedCont1"/>
    <w:uiPriority w:val="24"/>
    <w:unhideWhenUsed/>
    <w:pPr>
      <w:ind w:left="1440"/>
    </w:pPr>
  </w:style>
  <w:style w:type="paragraph" w:customStyle="1" w:styleId="IndentedCont3">
    <w:name w:val="Indented Cont 3"/>
    <w:basedOn w:val="IndentedCont2"/>
    <w:uiPriority w:val="24"/>
    <w:unhideWhenUsed/>
    <w:pPr>
      <w:ind w:left="2160"/>
    </w:pPr>
  </w:style>
  <w:style w:type="paragraph" w:customStyle="1" w:styleId="IndentedCont4">
    <w:name w:val="Indented Cont 4"/>
    <w:basedOn w:val="IndentedCont3"/>
    <w:uiPriority w:val="24"/>
    <w:unhideWhenUsed/>
    <w:pPr>
      <w:ind w:left="2880"/>
    </w:pPr>
  </w:style>
  <w:style w:type="paragraph" w:customStyle="1" w:styleId="IndentedCont5">
    <w:name w:val="Indented Cont 5"/>
    <w:basedOn w:val="IndentedCont4"/>
    <w:uiPriority w:val="24"/>
    <w:unhideWhenUsed/>
    <w:pPr>
      <w:ind w:left="3600"/>
    </w:pPr>
  </w:style>
  <w:style w:type="paragraph" w:customStyle="1" w:styleId="IndentedCont6">
    <w:name w:val="Indented Cont 6"/>
    <w:basedOn w:val="IndentedCont5"/>
    <w:uiPriority w:val="24"/>
    <w:unhideWhenUsed/>
    <w:pPr>
      <w:ind w:left="4320"/>
    </w:pPr>
  </w:style>
  <w:style w:type="paragraph" w:customStyle="1" w:styleId="IndentedCont7">
    <w:name w:val="Indented Cont 7"/>
    <w:basedOn w:val="IndentedCont6"/>
    <w:uiPriority w:val="24"/>
    <w:unhideWhenUsed/>
    <w:pPr>
      <w:ind w:left="5040"/>
    </w:pPr>
  </w:style>
  <w:style w:type="paragraph" w:customStyle="1" w:styleId="IndentedCont8">
    <w:name w:val="Indented Cont 8"/>
    <w:basedOn w:val="IndentedCont7"/>
    <w:uiPriority w:val="24"/>
    <w:unhideWhenUsed/>
    <w:pPr>
      <w:ind w:left="5760"/>
    </w:pPr>
  </w:style>
  <w:style w:type="paragraph" w:customStyle="1" w:styleId="IndentedCont9">
    <w:name w:val="Indented Cont 9"/>
    <w:basedOn w:val="IndentedCont8"/>
    <w:uiPriority w:val="24"/>
    <w:unhideWhenUsed/>
    <w:pPr>
      <w:ind w:left="6480"/>
    </w:pPr>
  </w:style>
  <w:style w:type="paragraph" w:styleId="Caption">
    <w:name w:val="caption"/>
    <w:basedOn w:val="Normal"/>
    <w:next w:val="Normal"/>
    <w:uiPriority w:val="35"/>
    <w:semiHidden/>
    <w:unhideWhenUsed/>
    <w:rPr>
      <w:b/>
      <w:bCs/>
      <w:sz w:val="20"/>
      <w:szCs w:val="20"/>
    </w:rPr>
  </w:style>
  <w:style w:type="paragraph" w:customStyle="1" w:styleId="Legal2Cont1">
    <w:name w:val="Legal2 Cont 1"/>
    <w:basedOn w:val="Normal"/>
    <w:link w:val="Legal2Cont1Char"/>
    <w:uiPriority w:val="26"/>
    <w:unhideWhenUsed/>
    <w:pPr>
      <w:spacing w:after="240"/>
    </w:pPr>
  </w:style>
  <w:style w:type="character" w:customStyle="1" w:styleId="Legal2Cont1Char">
    <w:name w:val="Legal2 Cont 1 Char"/>
    <w:link w:val="Legal2Cont1"/>
    <w:uiPriority w:val="26"/>
    <w:rPr>
      <w:sz w:val="24"/>
      <w:szCs w:val="24"/>
    </w:rPr>
  </w:style>
  <w:style w:type="paragraph" w:customStyle="1" w:styleId="Legal2Cont2">
    <w:name w:val="Legal2 Cont 2"/>
    <w:basedOn w:val="Legal2Cont1"/>
    <w:link w:val="Legal2Cont2Char"/>
    <w:uiPriority w:val="26"/>
    <w:unhideWhenUsed/>
    <w:pPr>
      <w:ind w:firstLine="720"/>
    </w:pPr>
  </w:style>
  <w:style w:type="character" w:customStyle="1" w:styleId="Legal2Cont2Char">
    <w:name w:val="Legal2 Cont 2 Char"/>
    <w:link w:val="Legal2Cont2"/>
    <w:uiPriority w:val="26"/>
    <w:rPr>
      <w:sz w:val="24"/>
      <w:szCs w:val="24"/>
    </w:rPr>
  </w:style>
  <w:style w:type="paragraph" w:customStyle="1" w:styleId="Legal2Cont3">
    <w:name w:val="Legal2 Cont 3"/>
    <w:basedOn w:val="Legal2Cont2"/>
    <w:link w:val="Legal2Cont3Char"/>
    <w:uiPriority w:val="26"/>
    <w:unhideWhenUsed/>
    <w:pPr>
      <w:ind w:firstLine="1440"/>
    </w:pPr>
  </w:style>
  <w:style w:type="character" w:customStyle="1" w:styleId="Legal2Cont3Char">
    <w:name w:val="Legal2 Cont 3 Char"/>
    <w:link w:val="Legal2Cont3"/>
    <w:uiPriority w:val="26"/>
    <w:rPr>
      <w:sz w:val="24"/>
      <w:szCs w:val="24"/>
    </w:rPr>
  </w:style>
  <w:style w:type="paragraph" w:customStyle="1" w:styleId="Legal2Cont4">
    <w:name w:val="Legal2 Cont 4"/>
    <w:basedOn w:val="Legal2Cont3"/>
    <w:link w:val="Legal2Cont4Char"/>
    <w:uiPriority w:val="26"/>
    <w:unhideWhenUsed/>
    <w:pPr>
      <w:ind w:firstLine="2160"/>
    </w:pPr>
  </w:style>
  <w:style w:type="character" w:customStyle="1" w:styleId="Legal2Cont4Char">
    <w:name w:val="Legal2 Cont 4 Char"/>
    <w:link w:val="Legal2Cont4"/>
    <w:uiPriority w:val="26"/>
    <w:rPr>
      <w:sz w:val="24"/>
      <w:szCs w:val="24"/>
    </w:rPr>
  </w:style>
  <w:style w:type="paragraph" w:customStyle="1" w:styleId="Legal2Cont5">
    <w:name w:val="Legal2 Cont 5"/>
    <w:basedOn w:val="Legal2Cont4"/>
    <w:link w:val="Legal2Cont5Char"/>
    <w:uiPriority w:val="26"/>
    <w:unhideWhenUsed/>
    <w:pPr>
      <w:ind w:firstLine="2880"/>
    </w:pPr>
  </w:style>
  <w:style w:type="character" w:customStyle="1" w:styleId="Legal2Cont5Char">
    <w:name w:val="Legal2 Cont 5 Char"/>
    <w:link w:val="Legal2Cont5"/>
    <w:uiPriority w:val="26"/>
    <w:rPr>
      <w:sz w:val="24"/>
      <w:szCs w:val="24"/>
    </w:rPr>
  </w:style>
  <w:style w:type="paragraph" w:customStyle="1" w:styleId="Legal2Cont6">
    <w:name w:val="Legal2 Cont 6"/>
    <w:basedOn w:val="Legal2Cont5"/>
    <w:link w:val="Legal2Cont6Char"/>
    <w:uiPriority w:val="26"/>
    <w:unhideWhenUsed/>
    <w:pPr>
      <w:ind w:firstLine="2160"/>
    </w:pPr>
  </w:style>
  <w:style w:type="character" w:customStyle="1" w:styleId="Legal2Cont6Char">
    <w:name w:val="Legal2 Cont 6 Char"/>
    <w:link w:val="Legal2Cont6"/>
    <w:uiPriority w:val="26"/>
    <w:rPr>
      <w:sz w:val="24"/>
      <w:szCs w:val="24"/>
    </w:rPr>
  </w:style>
  <w:style w:type="paragraph" w:customStyle="1" w:styleId="Legal2Cont7">
    <w:name w:val="Legal2 Cont 7"/>
    <w:basedOn w:val="Legal2Cont6"/>
    <w:link w:val="Legal2Cont7Char"/>
    <w:uiPriority w:val="26"/>
    <w:unhideWhenUsed/>
    <w:pPr>
      <w:ind w:firstLine="2880"/>
    </w:pPr>
  </w:style>
  <w:style w:type="character" w:customStyle="1" w:styleId="Legal2Cont7Char">
    <w:name w:val="Legal2 Cont 7 Char"/>
    <w:link w:val="Legal2Cont7"/>
    <w:uiPriority w:val="26"/>
    <w:rPr>
      <w:sz w:val="24"/>
      <w:szCs w:val="24"/>
    </w:rPr>
  </w:style>
  <w:style w:type="paragraph" w:customStyle="1" w:styleId="Legal2Cont8">
    <w:name w:val="Legal2 Cont 8"/>
    <w:basedOn w:val="Legal2Cont7"/>
    <w:link w:val="Legal2Cont8Char"/>
    <w:uiPriority w:val="26"/>
    <w:unhideWhenUsed/>
    <w:pPr>
      <w:ind w:firstLine="3600"/>
    </w:pPr>
  </w:style>
  <w:style w:type="character" w:customStyle="1" w:styleId="Legal2Cont8Char">
    <w:name w:val="Legal2 Cont 8 Char"/>
    <w:link w:val="Legal2Cont8"/>
    <w:uiPriority w:val="26"/>
    <w:rPr>
      <w:sz w:val="24"/>
      <w:szCs w:val="24"/>
    </w:rPr>
  </w:style>
  <w:style w:type="paragraph" w:customStyle="1" w:styleId="Legal2Cont9">
    <w:name w:val="Legal2 Cont 9"/>
    <w:basedOn w:val="Legal2Cont8"/>
    <w:link w:val="Legal2Cont9Char"/>
    <w:uiPriority w:val="26"/>
    <w:unhideWhenUsed/>
    <w:pPr>
      <w:ind w:firstLine="4320"/>
    </w:pPr>
  </w:style>
  <w:style w:type="character" w:customStyle="1" w:styleId="Legal2Cont9Char">
    <w:name w:val="Legal2 Cont 9 Char"/>
    <w:link w:val="Legal2Cont9"/>
    <w:uiPriority w:val="26"/>
    <w:rPr>
      <w:sz w:val="24"/>
      <w:szCs w:val="24"/>
    </w:rPr>
  </w:style>
  <w:style w:type="paragraph" w:customStyle="1" w:styleId="Legal3Cont1">
    <w:name w:val="Legal3 Cont 1"/>
    <w:basedOn w:val="Normal"/>
    <w:link w:val="Legal3Cont1Char"/>
    <w:uiPriority w:val="27"/>
    <w:unhideWhenUsed/>
    <w:pPr>
      <w:spacing w:after="240"/>
    </w:pPr>
  </w:style>
  <w:style w:type="character" w:customStyle="1" w:styleId="Legal3Cont1Char">
    <w:name w:val="Legal3 Cont 1 Char"/>
    <w:link w:val="Legal3Cont1"/>
    <w:uiPriority w:val="27"/>
    <w:rPr>
      <w:sz w:val="24"/>
      <w:szCs w:val="24"/>
    </w:rPr>
  </w:style>
  <w:style w:type="paragraph" w:customStyle="1" w:styleId="Legal3Cont2">
    <w:name w:val="Legal3 Cont 2"/>
    <w:basedOn w:val="Legal3Cont1"/>
    <w:link w:val="Legal3Cont2Char"/>
    <w:uiPriority w:val="27"/>
    <w:unhideWhenUsed/>
    <w:pPr>
      <w:ind w:firstLine="720"/>
    </w:pPr>
  </w:style>
  <w:style w:type="character" w:customStyle="1" w:styleId="Legal3Cont2Char">
    <w:name w:val="Legal3 Cont 2 Char"/>
    <w:link w:val="Legal3Cont2"/>
    <w:uiPriority w:val="27"/>
    <w:rPr>
      <w:sz w:val="24"/>
      <w:szCs w:val="24"/>
    </w:rPr>
  </w:style>
  <w:style w:type="paragraph" w:customStyle="1" w:styleId="Legal3Cont3">
    <w:name w:val="Legal3 Cont 3"/>
    <w:basedOn w:val="Legal3Cont2"/>
    <w:link w:val="Legal3Cont3Char"/>
    <w:uiPriority w:val="27"/>
    <w:unhideWhenUsed/>
    <w:pPr>
      <w:ind w:firstLine="1440"/>
    </w:pPr>
  </w:style>
  <w:style w:type="character" w:customStyle="1" w:styleId="Legal3Cont3Char">
    <w:name w:val="Legal3 Cont 3 Char"/>
    <w:link w:val="Legal3Cont3"/>
    <w:uiPriority w:val="27"/>
    <w:rPr>
      <w:sz w:val="24"/>
      <w:szCs w:val="24"/>
    </w:rPr>
  </w:style>
  <w:style w:type="paragraph" w:customStyle="1" w:styleId="Legal3Cont4">
    <w:name w:val="Legal3 Cont 4"/>
    <w:basedOn w:val="Legal3Cont3"/>
    <w:link w:val="Legal3Cont4Char"/>
    <w:uiPriority w:val="27"/>
    <w:unhideWhenUsed/>
    <w:pPr>
      <w:ind w:firstLine="2160"/>
    </w:pPr>
  </w:style>
  <w:style w:type="character" w:customStyle="1" w:styleId="Legal3Cont4Char">
    <w:name w:val="Legal3 Cont 4 Char"/>
    <w:link w:val="Legal3Cont4"/>
    <w:uiPriority w:val="27"/>
    <w:rPr>
      <w:sz w:val="24"/>
      <w:szCs w:val="24"/>
    </w:rPr>
  </w:style>
  <w:style w:type="paragraph" w:customStyle="1" w:styleId="Legal3Cont5">
    <w:name w:val="Legal3 Cont 5"/>
    <w:basedOn w:val="Legal3Cont4"/>
    <w:link w:val="Legal3Cont5Char"/>
    <w:uiPriority w:val="27"/>
    <w:unhideWhenUsed/>
    <w:pPr>
      <w:ind w:firstLine="2880"/>
    </w:pPr>
  </w:style>
  <w:style w:type="character" w:customStyle="1" w:styleId="Legal3Cont5Char">
    <w:name w:val="Legal3 Cont 5 Char"/>
    <w:link w:val="Legal3Cont5"/>
    <w:uiPriority w:val="27"/>
    <w:rPr>
      <w:sz w:val="24"/>
      <w:szCs w:val="24"/>
    </w:rPr>
  </w:style>
  <w:style w:type="paragraph" w:customStyle="1" w:styleId="Legal3Cont6">
    <w:name w:val="Legal3 Cont 6"/>
    <w:basedOn w:val="Legal3Cont5"/>
    <w:link w:val="Legal3Cont6Char"/>
    <w:uiPriority w:val="27"/>
    <w:unhideWhenUsed/>
    <w:pPr>
      <w:ind w:firstLine="3600"/>
    </w:pPr>
  </w:style>
  <w:style w:type="character" w:customStyle="1" w:styleId="Legal3Cont6Char">
    <w:name w:val="Legal3 Cont 6 Char"/>
    <w:link w:val="Legal3Cont6"/>
    <w:uiPriority w:val="27"/>
    <w:rPr>
      <w:sz w:val="24"/>
      <w:szCs w:val="24"/>
    </w:rPr>
  </w:style>
  <w:style w:type="paragraph" w:customStyle="1" w:styleId="Legal3Cont7">
    <w:name w:val="Legal3 Cont 7"/>
    <w:basedOn w:val="Legal3Cont6"/>
    <w:link w:val="Legal3Cont7Char"/>
    <w:uiPriority w:val="27"/>
    <w:unhideWhenUsed/>
    <w:pPr>
      <w:ind w:firstLine="4320"/>
    </w:pPr>
  </w:style>
  <w:style w:type="character" w:customStyle="1" w:styleId="Legal3Cont7Char">
    <w:name w:val="Legal3 Cont 7 Char"/>
    <w:link w:val="Legal3Cont7"/>
    <w:uiPriority w:val="27"/>
    <w:rPr>
      <w:sz w:val="24"/>
      <w:szCs w:val="24"/>
    </w:rPr>
  </w:style>
  <w:style w:type="paragraph" w:customStyle="1" w:styleId="Legal3Cont8">
    <w:name w:val="Legal3 Cont 8"/>
    <w:basedOn w:val="Legal3Cont7"/>
    <w:link w:val="Legal3Cont8Char"/>
    <w:uiPriority w:val="27"/>
    <w:unhideWhenUsed/>
    <w:pPr>
      <w:ind w:firstLine="5040"/>
    </w:pPr>
  </w:style>
  <w:style w:type="character" w:customStyle="1" w:styleId="Legal3Cont8Char">
    <w:name w:val="Legal3 Cont 8 Char"/>
    <w:link w:val="Legal3Cont8"/>
    <w:uiPriority w:val="27"/>
    <w:rPr>
      <w:sz w:val="24"/>
      <w:szCs w:val="24"/>
    </w:rPr>
  </w:style>
  <w:style w:type="paragraph" w:customStyle="1" w:styleId="Legal3Cont9">
    <w:name w:val="Legal3 Cont 9"/>
    <w:basedOn w:val="Legal3Cont8"/>
    <w:link w:val="Legal3Cont9Char"/>
    <w:uiPriority w:val="27"/>
    <w:unhideWhenUsed/>
    <w:pPr>
      <w:ind w:firstLine="5760"/>
    </w:pPr>
  </w:style>
  <w:style w:type="character" w:customStyle="1" w:styleId="Legal3Cont9Char">
    <w:name w:val="Legal3 Cont 9 Char"/>
    <w:link w:val="Legal3Cont9"/>
    <w:uiPriority w:val="27"/>
    <w:rPr>
      <w:sz w:val="24"/>
      <w:szCs w:val="24"/>
    </w:rPr>
  </w:style>
  <w:style w:type="paragraph" w:customStyle="1" w:styleId="Legal1Cont1">
    <w:name w:val="Legal1 Cont 1"/>
    <w:basedOn w:val="Normal"/>
    <w:link w:val="Legal1Cont1Char"/>
    <w:uiPriority w:val="25"/>
    <w:unhideWhenUsed/>
    <w:pPr>
      <w:spacing w:after="240"/>
    </w:pPr>
  </w:style>
  <w:style w:type="character" w:customStyle="1" w:styleId="Legal1Cont1Char">
    <w:name w:val="Legal1 Cont 1 Char"/>
    <w:link w:val="Legal1Cont1"/>
    <w:uiPriority w:val="25"/>
    <w:rPr>
      <w:sz w:val="24"/>
      <w:szCs w:val="24"/>
    </w:rPr>
  </w:style>
  <w:style w:type="paragraph" w:customStyle="1" w:styleId="Legal1Cont2">
    <w:name w:val="Legal1 Cont 2"/>
    <w:basedOn w:val="Legal1Cont1"/>
    <w:link w:val="Legal1Cont2Char"/>
    <w:uiPriority w:val="25"/>
    <w:unhideWhenUsed/>
    <w:pPr>
      <w:ind w:firstLine="720"/>
    </w:pPr>
  </w:style>
  <w:style w:type="character" w:customStyle="1" w:styleId="Legal1Cont2Char">
    <w:name w:val="Legal1 Cont 2 Char"/>
    <w:link w:val="Legal1Cont2"/>
    <w:uiPriority w:val="25"/>
    <w:rPr>
      <w:sz w:val="24"/>
      <w:szCs w:val="24"/>
    </w:rPr>
  </w:style>
  <w:style w:type="paragraph" w:customStyle="1" w:styleId="Legal1Cont3">
    <w:name w:val="Legal1 Cont 3"/>
    <w:basedOn w:val="Legal1Cont2"/>
    <w:link w:val="Legal1Cont3Char"/>
    <w:unhideWhenUsed/>
    <w:pPr>
      <w:ind w:firstLine="1440"/>
    </w:pPr>
  </w:style>
  <w:style w:type="character" w:customStyle="1" w:styleId="Legal1Cont3Char">
    <w:name w:val="Legal1 Cont 3 Char"/>
    <w:link w:val="Legal1Cont3"/>
    <w:uiPriority w:val="25"/>
    <w:rPr>
      <w:sz w:val="24"/>
      <w:szCs w:val="24"/>
    </w:rPr>
  </w:style>
  <w:style w:type="paragraph" w:customStyle="1" w:styleId="Legal1Cont4">
    <w:name w:val="Legal1 Cont 4"/>
    <w:basedOn w:val="Legal1Cont3"/>
    <w:link w:val="Legal1Cont4Char"/>
    <w:uiPriority w:val="25"/>
    <w:unhideWhenUsed/>
    <w:pPr>
      <w:ind w:firstLine="2160"/>
    </w:pPr>
  </w:style>
  <w:style w:type="character" w:customStyle="1" w:styleId="Legal1Cont4Char">
    <w:name w:val="Legal1 Cont 4 Char"/>
    <w:link w:val="Legal1Cont4"/>
    <w:uiPriority w:val="25"/>
    <w:rPr>
      <w:sz w:val="24"/>
      <w:szCs w:val="24"/>
    </w:rPr>
  </w:style>
  <w:style w:type="paragraph" w:customStyle="1" w:styleId="Legal1Cont5">
    <w:name w:val="Legal1 Cont 5"/>
    <w:basedOn w:val="Legal1Cont4"/>
    <w:link w:val="Legal1Cont5Char"/>
    <w:uiPriority w:val="25"/>
    <w:unhideWhenUsed/>
    <w:pPr>
      <w:ind w:firstLine="2880"/>
    </w:pPr>
  </w:style>
  <w:style w:type="character" w:customStyle="1" w:styleId="Legal1Cont5Char">
    <w:name w:val="Legal1 Cont 5 Char"/>
    <w:link w:val="Legal1Cont5"/>
    <w:uiPriority w:val="25"/>
    <w:rPr>
      <w:sz w:val="24"/>
      <w:szCs w:val="24"/>
    </w:rPr>
  </w:style>
  <w:style w:type="paragraph" w:customStyle="1" w:styleId="Legal1Cont6">
    <w:name w:val="Legal1 Cont 6"/>
    <w:basedOn w:val="Legal1Cont5"/>
    <w:link w:val="Legal1Cont6Char"/>
    <w:uiPriority w:val="25"/>
    <w:unhideWhenUsed/>
    <w:pPr>
      <w:ind w:firstLine="3600"/>
    </w:pPr>
  </w:style>
  <w:style w:type="character" w:customStyle="1" w:styleId="Legal1Cont6Char">
    <w:name w:val="Legal1 Cont 6 Char"/>
    <w:link w:val="Legal1Cont6"/>
    <w:uiPriority w:val="25"/>
    <w:rPr>
      <w:sz w:val="24"/>
      <w:szCs w:val="24"/>
    </w:rPr>
  </w:style>
  <w:style w:type="paragraph" w:customStyle="1" w:styleId="Legal1Cont7">
    <w:name w:val="Legal1 Cont 7"/>
    <w:basedOn w:val="Legal1Cont6"/>
    <w:link w:val="Legal1Cont7Char"/>
    <w:uiPriority w:val="25"/>
    <w:unhideWhenUsed/>
    <w:pPr>
      <w:ind w:firstLine="4320"/>
    </w:pPr>
  </w:style>
  <w:style w:type="character" w:customStyle="1" w:styleId="Legal1Cont7Char">
    <w:name w:val="Legal1 Cont 7 Char"/>
    <w:link w:val="Legal1Cont7"/>
    <w:uiPriority w:val="25"/>
    <w:rPr>
      <w:sz w:val="24"/>
      <w:szCs w:val="24"/>
    </w:rPr>
  </w:style>
  <w:style w:type="paragraph" w:customStyle="1" w:styleId="Legal1Cont8">
    <w:name w:val="Legal1 Cont 8"/>
    <w:basedOn w:val="Legal1Cont7"/>
    <w:link w:val="Legal1Cont8Char"/>
    <w:uiPriority w:val="25"/>
    <w:unhideWhenUsed/>
    <w:pPr>
      <w:ind w:firstLine="5040"/>
    </w:pPr>
  </w:style>
  <w:style w:type="character" w:customStyle="1" w:styleId="Legal1Cont8Char">
    <w:name w:val="Legal1 Cont 8 Char"/>
    <w:link w:val="Legal1Cont8"/>
    <w:uiPriority w:val="25"/>
    <w:rPr>
      <w:sz w:val="24"/>
      <w:szCs w:val="24"/>
    </w:rPr>
  </w:style>
  <w:style w:type="paragraph" w:customStyle="1" w:styleId="Legal1Cont9">
    <w:name w:val="Legal1 Cont 9"/>
    <w:basedOn w:val="Legal1Cont8"/>
    <w:link w:val="Legal1Cont9Char"/>
    <w:uiPriority w:val="25"/>
    <w:unhideWhenUsed/>
    <w:pPr>
      <w:ind w:firstLine="5760"/>
    </w:pPr>
  </w:style>
  <w:style w:type="character" w:customStyle="1" w:styleId="Legal1Cont9Char">
    <w:name w:val="Legal1 Cont 9 Char"/>
    <w:link w:val="Legal1Cont9"/>
    <w:uiPriority w:val="25"/>
    <w:rPr>
      <w:sz w:val="24"/>
      <w:szCs w:val="24"/>
    </w:rPr>
  </w:style>
  <w:style w:type="paragraph" w:customStyle="1" w:styleId="OutlineCont1">
    <w:name w:val="Outline Cont 1"/>
    <w:basedOn w:val="Normal"/>
    <w:link w:val="OutlineCont1Char"/>
    <w:uiPriority w:val="28"/>
    <w:unhideWhenUsed/>
    <w:pPr>
      <w:spacing w:after="240"/>
    </w:pPr>
  </w:style>
  <w:style w:type="character" w:customStyle="1" w:styleId="OutlineCont1Char">
    <w:name w:val="Outline Cont 1 Char"/>
    <w:link w:val="OutlineCont1"/>
    <w:uiPriority w:val="28"/>
    <w:rPr>
      <w:sz w:val="24"/>
      <w:szCs w:val="24"/>
    </w:rPr>
  </w:style>
  <w:style w:type="paragraph" w:customStyle="1" w:styleId="OutlineCont2">
    <w:name w:val="Outline Cont 2"/>
    <w:basedOn w:val="OutlineCont1"/>
    <w:link w:val="OutlineCont2Char"/>
    <w:uiPriority w:val="28"/>
    <w:unhideWhenUsed/>
    <w:pPr>
      <w:ind w:firstLine="720"/>
    </w:pPr>
  </w:style>
  <w:style w:type="character" w:customStyle="1" w:styleId="OutlineCont2Char">
    <w:name w:val="Outline Cont 2 Char"/>
    <w:link w:val="OutlineCont2"/>
    <w:uiPriority w:val="28"/>
    <w:rPr>
      <w:sz w:val="24"/>
      <w:szCs w:val="24"/>
    </w:rPr>
  </w:style>
  <w:style w:type="paragraph" w:customStyle="1" w:styleId="OutlineCont3">
    <w:name w:val="Outline Cont 3"/>
    <w:basedOn w:val="OutlineCont2"/>
    <w:link w:val="OutlineCont3Char"/>
    <w:uiPriority w:val="28"/>
    <w:unhideWhenUsed/>
    <w:pPr>
      <w:ind w:firstLine="1440"/>
    </w:pPr>
  </w:style>
  <w:style w:type="character" w:customStyle="1" w:styleId="OutlineCont3Char">
    <w:name w:val="Outline Cont 3 Char"/>
    <w:link w:val="OutlineCont3"/>
    <w:uiPriority w:val="28"/>
    <w:rPr>
      <w:sz w:val="24"/>
      <w:szCs w:val="24"/>
    </w:rPr>
  </w:style>
  <w:style w:type="paragraph" w:customStyle="1" w:styleId="OutlineCont4">
    <w:name w:val="Outline Cont 4"/>
    <w:basedOn w:val="OutlineCont3"/>
    <w:link w:val="OutlineCont4Char"/>
    <w:uiPriority w:val="28"/>
    <w:unhideWhenUsed/>
    <w:pPr>
      <w:ind w:firstLine="2160"/>
    </w:pPr>
  </w:style>
  <w:style w:type="character" w:customStyle="1" w:styleId="OutlineCont4Char">
    <w:name w:val="Outline Cont 4 Char"/>
    <w:link w:val="OutlineCont4"/>
    <w:uiPriority w:val="28"/>
    <w:rPr>
      <w:sz w:val="24"/>
      <w:szCs w:val="24"/>
    </w:rPr>
  </w:style>
  <w:style w:type="paragraph" w:customStyle="1" w:styleId="OutlineCont5">
    <w:name w:val="Outline Cont 5"/>
    <w:basedOn w:val="OutlineCont4"/>
    <w:link w:val="OutlineCont5Char"/>
    <w:uiPriority w:val="28"/>
    <w:unhideWhenUsed/>
    <w:pPr>
      <w:ind w:firstLine="2880"/>
    </w:pPr>
  </w:style>
  <w:style w:type="character" w:customStyle="1" w:styleId="OutlineCont5Char">
    <w:name w:val="Outline Cont 5 Char"/>
    <w:link w:val="OutlineCont5"/>
    <w:uiPriority w:val="28"/>
    <w:rPr>
      <w:sz w:val="24"/>
      <w:szCs w:val="24"/>
    </w:rPr>
  </w:style>
  <w:style w:type="paragraph" w:customStyle="1" w:styleId="OutlineCont6">
    <w:name w:val="Outline Cont 6"/>
    <w:basedOn w:val="OutlineCont5"/>
    <w:link w:val="OutlineCont6Char"/>
    <w:uiPriority w:val="28"/>
    <w:unhideWhenUsed/>
    <w:pPr>
      <w:ind w:firstLine="3600"/>
    </w:pPr>
  </w:style>
  <w:style w:type="character" w:customStyle="1" w:styleId="OutlineCont6Char">
    <w:name w:val="Outline Cont 6 Char"/>
    <w:link w:val="OutlineCont6"/>
    <w:uiPriority w:val="28"/>
    <w:rPr>
      <w:sz w:val="24"/>
      <w:szCs w:val="24"/>
    </w:rPr>
  </w:style>
  <w:style w:type="paragraph" w:customStyle="1" w:styleId="OutlineCont7">
    <w:name w:val="Outline Cont 7"/>
    <w:basedOn w:val="OutlineCont6"/>
    <w:link w:val="OutlineCont7Char"/>
    <w:uiPriority w:val="28"/>
    <w:unhideWhenUsed/>
    <w:pPr>
      <w:ind w:firstLine="4320"/>
    </w:pPr>
  </w:style>
  <w:style w:type="character" w:customStyle="1" w:styleId="OutlineCont7Char">
    <w:name w:val="Outline Cont 7 Char"/>
    <w:link w:val="OutlineCont7"/>
    <w:uiPriority w:val="28"/>
    <w:rPr>
      <w:sz w:val="24"/>
      <w:szCs w:val="24"/>
    </w:rPr>
  </w:style>
  <w:style w:type="paragraph" w:customStyle="1" w:styleId="OutlineCont8">
    <w:name w:val="Outline Cont 8"/>
    <w:basedOn w:val="OutlineCont7"/>
    <w:link w:val="OutlineCont8Char"/>
    <w:uiPriority w:val="28"/>
    <w:unhideWhenUsed/>
    <w:pPr>
      <w:ind w:firstLine="5040"/>
    </w:pPr>
  </w:style>
  <w:style w:type="character" w:customStyle="1" w:styleId="OutlineCont8Char">
    <w:name w:val="Outline Cont 8 Char"/>
    <w:link w:val="OutlineCont8"/>
    <w:uiPriority w:val="28"/>
    <w:rPr>
      <w:sz w:val="24"/>
      <w:szCs w:val="24"/>
    </w:rPr>
  </w:style>
  <w:style w:type="paragraph" w:customStyle="1" w:styleId="OutlineCont9">
    <w:name w:val="Outline Cont 9"/>
    <w:basedOn w:val="OutlineCont8"/>
    <w:link w:val="OutlineCont9Char"/>
    <w:uiPriority w:val="28"/>
    <w:unhideWhenUsed/>
    <w:pPr>
      <w:ind w:firstLine="5760"/>
    </w:pPr>
  </w:style>
  <w:style w:type="character" w:customStyle="1" w:styleId="OutlineCont9Char">
    <w:name w:val="Outline Cont 9 Char"/>
    <w:link w:val="OutlineCont9"/>
    <w:uiPriority w:val="28"/>
    <w:rPr>
      <w:sz w:val="24"/>
      <w:szCs w:val="24"/>
    </w:rPr>
  </w:style>
  <w:style w:type="paragraph" w:customStyle="1" w:styleId="ParagraphCont1">
    <w:name w:val="Paragraph Cont 1"/>
    <w:basedOn w:val="Normal"/>
    <w:link w:val="ParagraphCont1Char"/>
    <w:uiPriority w:val="29"/>
    <w:unhideWhenUsed/>
    <w:pPr>
      <w:spacing w:after="240"/>
      <w:ind w:firstLine="720"/>
    </w:pPr>
  </w:style>
  <w:style w:type="character" w:customStyle="1" w:styleId="ParagraphCont1Char">
    <w:name w:val="Paragraph Cont 1 Char"/>
    <w:link w:val="ParagraphCont1"/>
    <w:uiPriority w:val="29"/>
    <w:rPr>
      <w:sz w:val="24"/>
      <w:szCs w:val="24"/>
    </w:rPr>
  </w:style>
  <w:style w:type="paragraph" w:customStyle="1" w:styleId="ParagraphCont2">
    <w:name w:val="Paragraph Cont 2"/>
    <w:basedOn w:val="ParagraphCont1"/>
    <w:link w:val="ParagraphCont2Char"/>
    <w:uiPriority w:val="29"/>
    <w:unhideWhenUsed/>
    <w:pPr>
      <w:ind w:firstLine="1440"/>
    </w:pPr>
  </w:style>
  <w:style w:type="character" w:customStyle="1" w:styleId="ParagraphCont2Char">
    <w:name w:val="Paragraph Cont 2 Char"/>
    <w:link w:val="ParagraphCont2"/>
    <w:uiPriority w:val="29"/>
    <w:rPr>
      <w:sz w:val="24"/>
      <w:szCs w:val="24"/>
    </w:rPr>
  </w:style>
  <w:style w:type="paragraph" w:customStyle="1" w:styleId="ParagraphCont3">
    <w:name w:val="Paragraph Cont 3"/>
    <w:basedOn w:val="ParagraphCont2"/>
    <w:link w:val="ParagraphCont3Char"/>
    <w:uiPriority w:val="29"/>
    <w:unhideWhenUsed/>
    <w:pPr>
      <w:ind w:firstLine="2160"/>
    </w:pPr>
  </w:style>
  <w:style w:type="character" w:customStyle="1" w:styleId="ParagraphCont3Char">
    <w:name w:val="Paragraph Cont 3 Char"/>
    <w:link w:val="ParagraphCont3"/>
    <w:uiPriority w:val="29"/>
    <w:rPr>
      <w:sz w:val="24"/>
      <w:szCs w:val="24"/>
    </w:rPr>
  </w:style>
  <w:style w:type="paragraph" w:customStyle="1" w:styleId="ParagraphCont4">
    <w:name w:val="Paragraph Cont 4"/>
    <w:basedOn w:val="ParagraphCont3"/>
    <w:link w:val="ParagraphCont4Char"/>
    <w:uiPriority w:val="29"/>
    <w:unhideWhenUsed/>
    <w:pPr>
      <w:ind w:firstLine="2880"/>
    </w:pPr>
  </w:style>
  <w:style w:type="character" w:customStyle="1" w:styleId="ParagraphCont4Char">
    <w:name w:val="Paragraph Cont 4 Char"/>
    <w:link w:val="ParagraphCont4"/>
    <w:uiPriority w:val="29"/>
    <w:rPr>
      <w:sz w:val="24"/>
      <w:szCs w:val="24"/>
    </w:rPr>
  </w:style>
  <w:style w:type="paragraph" w:customStyle="1" w:styleId="ParagraphCont5">
    <w:name w:val="Paragraph Cont 5"/>
    <w:basedOn w:val="ParagraphCont4"/>
    <w:link w:val="ParagraphCont5Char"/>
    <w:uiPriority w:val="29"/>
    <w:unhideWhenUsed/>
    <w:pPr>
      <w:ind w:firstLine="3600"/>
    </w:pPr>
  </w:style>
  <w:style w:type="character" w:customStyle="1" w:styleId="ParagraphCont5Char">
    <w:name w:val="Paragraph Cont 5 Char"/>
    <w:link w:val="ParagraphCont5"/>
    <w:uiPriority w:val="29"/>
    <w:rPr>
      <w:sz w:val="24"/>
      <w:szCs w:val="24"/>
    </w:rPr>
  </w:style>
  <w:style w:type="paragraph" w:customStyle="1" w:styleId="ParagraphCont6">
    <w:name w:val="Paragraph Cont 6"/>
    <w:basedOn w:val="ParagraphCont5"/>
    <w:link w:val="ParagraphCont6Char"/>
    <w:uiPriority w:val="29"/>
    <w:unhideWhenUsed/>
    <w:pPr>
      <w:ind w:firstLine="4320"/>
    </w:pPr>
  </w:style>
  <w:style w:type="character" w:customStyle="1" w:styleId="ParagraphCont6Char">
    <w:name w:val="Paragraph Cont 6 Char"/>
    <w:link w:val="ParagraphCont6"/>
    <w:uiPriority w:val="29"/>
    <w:rPr>
      <w:sz w:val="24"/>
      <w:szCs w:val="24"/>
    </w:rPr>
  </w:style>
  <w:style w:type="paragraph" w:customStyle="1" w:styleId="ParagraphCont7">
    <w:name w:val="Paragraph Cont 7"/>
    <w:basedOn w:val="ParagraphCont6"/>
    <w:link w:val="ParagraphCont7Char"/>
    <w:uiPriority w:val="29"/>
    <w:unhideWhenUsed/>
    <w:pPr>
      <w:ind w:firstLine="5040"/>
    </w:pPr>
  </w:style>
  <w:style w:type="character" w:customStyle="1" w:styleId="ParagraphCont7Char">
    <w:name w:val="Paragraph Cont 7 Char"/>
    <w:link w:val="ParagraphCont7"/>
    <w:uiPriority w:val="29"/>
    <w:rPr>
      <w:sz w:val="24"/>
      <w:szCs w:val="24"/>
    </w:rPr>
  </w:style>
  <w:style w:type="paragraph" w:customStyle="1" w:styleId="ParagraphCont8">
    <w:name w:val="Paragraph Cont 8"/>
    <w:basedOn w:val="ParagraphCont7"/>
    <w:link w:val="ParagraphCont8Char"/>
    <w:uiPriority w:val="29"/>
    <w:unhideWhenUsed/>
    <w:pPr>
      <w:ind w:firstLine="5760"/>
    </w:pPr>
  </w:style>
  <w:style w:type="character" w:customStyle="1" w:styleId="ParagraphCont8Char">
    <w:name w:val="Paragraph Cont 8 Char"/>
    <w:link w:val="ParagraphCont8"/>
    <w:uiPriority w:val="29"/>
    <w:rPr>
      <w:sz w:val="24"/>
      <w:szCs w:val="24"/>
    </w:rPr>
  </w:style>
  <w:style w:type="paragraph" w:customStyle="1" w:styleId="ParagraphCont9">
    <w:name w:val="Paragraph Cont 9"/>
    <w:basedOn w:val="ParagraphCont8"/>
    <w:link w:val="ParagraphCont9Char"/>
    <w:uiPriority w:val="29"/>
    <w:unhideWhenUsed/>
    <w:pPr>
      <w:ind w:firstLine="6480"/>
    </w:pPr>
  </w:style>
  <w:style w:type="character" w:customStyle="1" w:styleId="ParagraphCont9Char">
    <w:name w:val="Paragraph Cont 9 Char"/>
    <w:link w:val="ParagraphCont9"/>
    <w:uiPriority w:val="29"/>
    <w:rPr>
      <w:sz w:val="24"/>
      <w:szCs w:val="24"/>
    </w:rPr>
  </w:style>
  <w:style w:type="paragraph" w:customStyle="1" w:styleId="PleadingCont1">
    <w:name w:val="Pleading Cont 1"/>
    <w:basedOn w:val="Normal"/>
    <w:link w:val="PleadingCont1Char"/>
    <w:uiPriority w:val="30"/>
    <w:unhideWhenUsed/>
    <w:pPr>
      <w:spacing w:after="240"/>
      <w:ind w:firstLine="720"/>
    </w:pPr>
    <w:rPr>
      <w:b/>
      <w:caps/>
      <w:u w:val="single"/>
    </w:rPr>
  </w:style>
  <w:style w:type="character" w:customStyle="1" w:styleId="PleadingCont1Char">
    <w:name w:val="Pleading Cont 1 Char"/>
    <w:link w:val="PleadingCont1"/>
    <w:uiPriority w:val="30"/>
    <w:rPr>
      <w:b/>
      <w:caps/>
      <w:sz w:val="24"/>
      <w:szCs w:val="24"/>
      <w:u w:val="single"/>
    </w:rPr>
  </w:style>
  <w:style w:type="paragraph" w:customStyle="1" w:styleId="PleadingCont2">
    <w:name w:val="Pleading Cont 2"/>
    <w:basedOn w:val="PleadingCont1"/>
    <w:link w:val="PleadingCont2Char"/>
    <w:uiPriority w:val="30"/>
    <w:unhideWhenUsed/>
    <w:pPr>
      <w:ind w:left="720" w:firstLine="0"/>
    </w:pPr>
    <w:rPr>
      <w:caps w:val="0"/>
    </w:rPr>
  </w:style>
  <w:style w:type="character" w:customStyle="1" w:styleId="PleadingCont2Char">
    <w:name w:val="Pleading Cont 2 Char"/>
    <w:link w:val="PleadingCont2"/>
    <w:uiPriority w:val="30"/>
    <w:rPr>
      <w:b/>
      <w:sz w:val="24"/>
      <w:szCs w:val="24"/>
      <w:u w:val="single"/>
    </w:rPr>
  </w:style>
  <w:style w:type="paragraph" w:customStyle="1" w:styleId="PleadingCont3">
    <w:name w:val="Pleading Cont 3"/>
    <w:basedOn w:val="PleadingCont2"/>
    <w:link w:val="PleadingCont3Char"/>
    <w:uiPriority w:val="30"/>
    <w:unhideWhenUsed/>
    <w:pPr>
      <w:ind w:left="1440"/>
    </w:pPr>
    <w:rPr>
      <w:b w:val="0"/>
      <w:u w:val="none"/>
    </w:rPr>
  </w:style>
  <w:style w:type="character" w:customStyle="1" w:styleId="PleadingCont3Char">
    <w:name w:val="Pleading Cont 3 Char"/>
    <w:link w:val="PleadingCont3"/>
    <w:uiPriority w:val="30"/>
    <w:rPr>
      <w:sz w:val="24"/>
      <w:szCs w:val="24"/>
    </w:rPr>
  </w:style>
  <w:style w:type="paragraph" w:customStyle="1" w:styleId="PleadingCont4">
    <w:name w:val="Pleading Cont 4"/>
    <w:basedOn w:val="PleadingCont3"/>
    <w:link w:val="PleadingCont4Char"/>
    <w:uiPriority w:val="30"/>
    <w:unhideWhenUsed/>
    <w:pPr>
      <w:ind w:left="2160"/>
    </w:pPr>
  </w:style>
  <w:style w:type="character" w:customStyle="1" w:styleId="PleadingCont4Char">
    <w:name w:val="Pleading Cont 4 Char"/>
    <w:link w:val="PleadingCont4"/>
    <w:uiPriority w:val="30"/>
    <w:rPr>
      <w:sz w:val="24"/>
      <w:szCs w:val="24"/>
    </w:rPr>
  </w:style>
  <w:style w:type="paragraph" w:customStyle="1" w:styleId="PleadingCont5">
    <w:name w:val="Pleading Cont 5"/>
    <w:basedOn w:val="PleadingCont4"/>
    <w:link w:val="PleadingCont5Char"/>
    <w:uiPriority w:val="30"/>
    <w:unhideWhenUsed/>
    <w:pPr>
      <w:ind w:left="2880"/>
    </w:pPr>
  </w:style>
  <w:style w:type="character" w:customStyle="1" w:styleId="PleadingCont5Char">
    <w:name w:val="Pleading Cont 5 Char"/>
    <w:link w:val="PleadingCont5"/>
    <w:uiPriority w:val="30"/>
    <w:rPr>
      <w:sz w:val="24"/>
      <w:szCs w:val="24"/>
    </w:rPr>
  </w:style>
  <w:style w:type="paragraph" w:customStyle="1" w:styleId="PleadingCont6">
    <w:name w:val="Pleading Cont 6"/>
    <w:basedOn w:val="PleadingCont5"/>
    <w:link w:val="PleadingCont6Char"/>
    <w:uiPriority w:val="30"/>
    <w:unhideWhenUsed/>
    <w:pPr>
      <w:ind w:left="3600"/>
    </w:pPr>
  </w:style>
  <w:style w:type="character" w:customStyle="1" w:styleId="PleadingCont6Char">
    <w:name w:val="Pleading Cont 6 Char"/>
    <w:link w:val="PleadingCont6"/>
    <w:uiPriority w:val="30"/>
    <w:rPr>
      <w:sz w:val="24"/>
      <w:szCs w:val="24"/>
    </w:rPr>
  </w:style>
  <w:style w:type="paragraph" w:customStyle="1" w:styleId="PleadingCont7">
    <w:name w:val="Pleading Cont 7"/>
    <w:basedOn w:val="PleadingCont6"/>
    <w:link w:val="PleadingCont7Char"/>
    <w:uiPriority w:val="30"/>
    <w:unhideWhenUsed/>
    <w:pPr>
      <w:ind w:left="4320"/>
    </w:pPr>
  </w:style>
  <w:style w:type="character" w:customStyle="1" w:styleId="PleadingCont7Char">
    <w:name w:val="Pleading Cont 7 Char"/>
    <w:link w:val="PleadingCont7"/>
    <w:uiPriority w:val="30"/>
    <w:rPr>
      <w:sz w:val="24"/>
      <w:szCs w:val="24"/>
    </w:rPr>
  </w:style>
  <w:style w:type="paragraph" w:customStyle="1" w:styleId="PleadingCont8">
    <w:name w:val="Pleading Cont 8"/>
    <w:basedOn w:val="PleadingCont7"/>
    <w:link w:val="PleadingCont8Char"/>
    <w:uiPriority w:val="30"/>
    <w:unhideWhenUsed/>
    <w:pPr>
      <w:ind w:left="5040"/>
    </w:pPr>
  </w:style>
  <w:style w:type="character" w:customStyle="1" w:styleId="PleadingCont8Char">
    <w:name w:val="Pleading Cont 8 Char"/>
    <w:link w:val="PleadingCont8"/>
    <w:uiPriority w:val="30"/>
    <w:rPr>
      <w:sz w:val="24"/>
      <w:szCs w:val="24"/>
    </w:rPr>
  </w:style>
  <w:style w:type="paragraph" w:customStyle="1" w:styleId="PleadingCont9">
    <w:name w:val="Pleading Cont 9"/>
    <w:basedOn w:val="PleadingCont8"/>
    <w:link w:val="PleadingCont9Char"/>
    <w:uiPriority w:val="30"/>
    <w:unhideWhenUsed/>
    <w:pPr>
      <w:ind w:left="5760"/>
    </w:pPr>
  </w:style>
  <w:style w:type="character" w:customStyle="1" w:styleId="PleadingCont9Char">
    <w:name w:val="Pleading Cont 9 Char"/>
    <w:link w:val="PleadingCont9"/>
    <w:uiPriority w:val="30"/>
    <w:rPr>
      <w:sz w:val="24"/>
      <w:szCs w:val="24"/>
    </w:rPr>
  </w:style>
  <w:style w:type="paragraph" w:customStyle="1" w:styleId="RunInCont1">
    <w:name w:val="RunIn Cont 1"/>
    <w:basedOn w:val="Normal"/>
    <w:uiPriority w:val="31"/>
    <w:unhideWhenUsed/>
    <w:pPr>
      <w:spacing w:after="240"/>
    </w:pPr>
    <w:rPr>
      <w:szCs w:val="20"/>
    </w:rPr>
  </w:style>
  <w:style w:type="paragraph" w:customStyle="1" w:styleId="RunInCont2">
    <w:name w:val="RunIn Cont 2"/>
    <w:basedOn w:val="RunInCont1"/>
    <w:uiPriority w:val="31"/>
    <w:unhideWhenUsed/>
  </w:style>
  <w:style w:type="paragraph" w:customStyle="1" w:styleId="RunInCont3">
    <w:name w:val="RunIn Cont 3"/>
    <w:basedOn w:val="RunInCont2"/>
    <w:uiPriority w:val="31"/>
    <w:unhideWhenUsed/>
    <w:pPr>
      <w:ind w:firstLine="720"/>
    </w:pPr>
  </w:style>
  <w:style w:type="paragraph" w:customStyle="1" w:styleId="RunInCont4">
    <w:name w:val="RunIn Cont 4"/>
    <w:basedOn w:val="RunInCont3"/>
    <w:uiPriority w:val="31"/>
    <w:unhideWhenUsed/>
    <w:pPr>
      <w:ind w:firstLine="1440"/>
    </w:pPr>
  </w:style>
  <w:style w:type="paragraph" w:customStyle="1" w:styleId="RunInCont5">
    <w:name w:val="RunIn Cont 5"/>
    <w:basedOn w:val="RunInCont4"/>
    <w:uiPriority w:val="31"/>
    <w:unhideWhenUsed/>
    <w:pPr>
      <w:ind w:firstLine="2160"/>
    </w:pPr>
  </w:style>
  <w:style w:type="paragraph" w:customStyle="1" w:styleId="RunInCont6">
    <w:name w:val="RunIn Cont 6"/>
    <w:basedOn w:val="RunInCont5"/>
    <w:uiPriority w:val="31"/>
    <w:unhideWhenUsed/>
    <w:pPr>
      <w:ind w:firstLine="2880"/>
    </w:pPr>
  </w:style>
  <w:style w:type="paragraph" w:customStyle="1" w:styleId="RunInCont7">
    <w:name w:val="RunIn Cont 7"/>
    <w:basedOn w:val="RunInCont6"/>
    <w:uiPriority w:val="31"/>
    <w:unhideWhenUsed/>
    <w:pPr>
      <w:ind w:firstLine="3600"/>
    </w:pPr>
  </w:style>
  <w:style w:type="paragraph" w:customStyle="1" w:styleId="RunInCont8">
    <w:name w:val="RunIn Cont 8"/>
    <w:basedOn w:val="RunInCont7"/>
    <w:uiPriority w:val="31"/>
    <w:unhideWhenUsed/>
    <w:pPr>
      <w:ind w:firstLine="4320"/>
    </w:pPr>
  </w:style>
  <w:style w:type="paragraph" w:customStyle="1" w:styleId="RunInCont9">
    <w:name w:val="RunIn Cont 9"/>
    <w:basedOn w:val="RunInCont8"/>
    <w:uiPriority w:val="31"/>
    <w:unhideWhenUsed/>
    <w:pPr>
      <w:ind w:firstLine="5040"/>
    </w:pPr>
  </w:style>
  <w:style w:type="paragraph" w:customStyle="1" w:styleId="RunIn1">
    <w:name w:val="RunIn 1"/>
    <w:basedOn w:val="Normal"/>
    <w:next w:val="RunInCont1"/>
    <w:uiPriority w:val="31"/>
    <w:unhideWhenUsed/>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pPr>
      <w:keepNext w:val="0"/>
      <w:keepLines w:val="0"/>
      <w:numPr>
        <w:ilvl w:val="1"/>
      </w:numPr>
      <w:jc w:val="left"/>
      <w:outlineLvl w:val="1"/>
    </w:pPr>
  </w:style>
  <w:style w:type="paragraph" w:customStyle="1" w:styleId="RunIn3">
    <w:name w:val="RunIn 3"/>
    <w:basedOn w:val="RunIn2"/>
    <w:next w:val="RunInCont3"/>
    <w:uiPriority w:val="31"/>
    <w:unhideWhenUsed/>
    <w:pPr>
      <w:numPr>
        <w:ilvl w:val="2"/>
      </w:numPr>
      <w:outlineLvl w:val="2"/>
    </w:pPr>
  </w:style>
  <w:style w:type="paragraph" w:customStyle="1" w:styleId="RunIn4">
    <w:name w:val="RunIn 4"/>
    <w:basedOn w:val="RunIn3"/>
    <w:next w:val="RunInCont4"/>
    <w:uiPriority w:val="31"/>
    <w:unhideWhenUsed/>
    <w:pPr>
      <w:numPr>
        <w:ilvl w:val="3"/>
      </w:numPr>
      <w:outlineLvl w:val="3"/>
    </w:pPr>
  </w:style>
  <w:style w:type="paragraph" w:customStyle="1" w:styleId="RunIn5">
    <w:name w:val="RunIn 5"/>
    <w:basedOn w:val="RunIn4"/>
    <w:next w:val="RunInCont5"/>
    <w:uiPriority w:val="31"/>
    <w:unhideWhenUsed/>
    <w:pPr>
      <w:numPr>
        <w:ilvl w:val="4"/>
      </w:numPr>
      <w:outlineLvl w:val="4"/>
    </w:pPr>
  </w:style>
  <w:style w:type="paragraph" w:customStyle="1" w:styleId="RunIn6">
    <w:name w:val="RunIn 6"/>
    <w:basedOn w:val="RunIn5"/>
    <w:next w:val="RunInCont6"/>
    <w:uiPriority w:val="31"/>
    <w:unhideWhenUsed/>
    <w:pPr>
      <w:numPr>
        <w:ilvl w:val="5"/>
      </w:numPr>
      <w:outlineLvl w:val="5"/>
    </w:pPr>
  </w:style>
  <w:style w:type="paragraph" w:customStyle="1" w:styleId="RunIn7">
    <w:name w:val="RunIn 7"/>
    <w:basedOn w:val="RunIn6"/>
    <w:next w:val="RunInCont7"/>
    <w:uiPriority w:val="31"/>
    <w:unhideWhenUsed/>
    <w:pPr>
      <w:numPr>
        <w:ilvl w:val="6"/>
      </w:numPr>
      <w:outlineLvl w:val="6"/>
    </w:pPr>
  </w:style>
  <w:style w:type="paragraph" w:customStyle="1" w:styleId="RunIn8">
    <w:name w:val="RunIn 8"/>
    <w:basedOn w:val="RunIn7"/>
    <w:next w:val="RunInCont8"/>
    <w:uiPriority w:val="31"/>
    <w:unhideWhenUsed/>
    <w:pPr>
      <w:numPr>
        <w:ilvl w:val="7"/>
      </w:numPr>
      <w:outlineLvl w:val="7"/>
    </w:pPr>
  </w:style>
  <w:style w:type="paragraph" w:customStyle="1" w:styleId="RunIn9">
    <w:name w:val="RunIn 9"/>
    <w:basedOn w:val="RunIn8"/>
    <w:next w:val="RunInCont9"/>
    <w:uiPriority w:val="31"/>
    <w:unhideWhenUsed/>
    <w:pPr>
      <w:numPr>
        <w:ilvl w:val="8"/>
      </w:numPr>
      <w:outlineLvl w:val="8"/>
    </w:pPr>
  </w:style>
  <w:style w:type="paragraph" w:customStyle="1" w:styleId="TabbedCont1">
    <w:name w:val="Tabbed Cont 1"/>
    <w:basedOn w:val="Normal"/>
    <w:link w:val="TabbedCont1Char"/>
    <w:uiPriority w:val="32"/>
    <w:unhideWhenUsed/>
    <w:pPr>
      <w:spacing w:after="240"/>
      <w:ind w:firstLine="720"/>
    </w:pPr>
  </w:style>
  <w:style w:type="character" w:customStyle="1" w:styleId="TabbedCont1Char">
    <w:name w:val="Tabbed Cont 1 Char"/>
    <w:link w:val="TabbedCont1"/>
    <w:uiPriority w:val="32"/>
    <w:rPr>
      <w:sz w:val="24"/>
      <w:szCs w:val="24"/>
    </w:rPr>
  </w:style>
  <w:style w:type="paragraph" w:customStyle="1" w:styleId="TabbedCont2">
    <w:name w:val="Tabbed Cont 2"/>
    <w:basedOn w:val="TabbedCont1"/>
    <w:link w:val="TabbedCont2Char"/>
    <w:uiPriority w:val="32"/>
    <w:unhideWhenUsed/>
    <w:pPr>
      <w:ind w:firstLine="1440"/>
    </w:pPr>
  </w:style>
  <w:style w:type="character" w:customStyle="1" w:styleId="TabbedCont2Char">
    <w:name w:val="Tabbed Cont 2 Char"/>
    <w:link w:val="TabbedCont2"/>
    <w:uiPriority w:val="32"/>
    <w:rPr>
      <w:sz w:val="24"/>
      <w:szCs w:val="24"/>
    </w:rPr>
  </w:style>
  <w:style w:type="paragraph" w:customStyle="1" w:styleId="TabbedCont3">
    <w:name w:val="Tabbed Cont 3"/>
    <w:basedOn w:val="TabbedCont2"/>
    <w:link w:val="TabbedCont3Char"/>
    <w:uiPriority w:val="32"/>
    <w:unhideWhenUsed/>
    <w:pPr>
      <w:ind w:firstLine="2160"/>
    </w:pPr>
  </w:style>
  <w:style w:type="character" w:customStyle="1" w:styleId="TabbedCont3Char">
    <w:name w:val="Tabbed Cont 3 Char"/>
    <w:link w:val="TabbedCont3"/>
    <w:uiPriority w:val="32"/>
    <w:rPr>
      <w:sz w:val="24"/>
      <w:szCs w:val="24"/>
    </w:rPr>
  </w:style>
  <w:style w:type="paragraph" w:customStyle="1" w:styleId="TabbedCont4">
    <w:name w:val="Tabbed Cont 4"/>
    <w:basedOn w:val="TabbedCont3"/>
    <w:link w:val="TabbedCont4Char"/>
    <w:uiPriority w:val="32"/>
    <w:unhideWhenUsed/>
    <w:pPr>
      <w:ind w:firstLine="2880"/>
    </w:pPr>
  </w:style>
  <w:style w:type="character" w:customStyle="1" w:styleId="TabbedCont4Char">
    <w:name w:val="Tabbed Cont 4 Char"/>
    <w:link w:val="TabbedCont4"/>
    <w:uiPriority w:val="32"/>
    <w:rPr>
      <w:sz w:val="24"/>
      <w:szCs w:val="24"/>
    </w:rPr>
  </w:style>
  <w:style w:type="paragraph" w:customStyle="1" w:styleId="TabbedCont5">
    <w:name w:val="Tabbed Cont 5"/>
    <w:basedOn w:val="TabbedCont4"/>
    <w:link w:val="TabbedCont5Char"/>
    <w:uiPriority w:val="32"/>
    <w:unhideWhenUsed/>
    <w:pPr>
      <w:ind w:firstLine="3600"/>
    </w:pPr>
  </w:style>
  <w:style w:type="character" w:customStyle="1" w:styleId="TabbedCont5Char">
    <w:name w:val="Tabbed Cont 5 Char"/>
    <w:link w:val="TabbedCont5"/>
    <w:uiPriority w:val="32"/>
    <w:rPr>
      <w:sz w:val="24"/>
      <w:szCs w:val="24"/>
    </w:rPr>
  </w:style>
  <w:style w:type="paragraph" w:customStyle="1" w:styleId="TabbedCont6">
    <w:name w:val="Tabbed Cont 6"/>
    <w:basedOn w:val="TabbedCont5"/>
    <w:link w:val="TabbedCont6Char"/>
    <w:uiPriority w:val="32"/>
    <w:unhideWhenUsed/>
    <w:pPr>
      <w:ind w:firstLine="4320"/>
    </w:pPr>
  </w:style>
  <w:style w:type="character" w:customStyle="1" w:styleId="TabbedCont6Char">
    <w:name w:val="Tabbed Cont 6 Char"/>
    <w:link w:val="TabbedCont6"/>
    <w:uiPriority w:val="32"/>
    <w:rPr>
      <w:sz w:val="24"/>
      <w:szCs w:val="24"/>
    </w:rPr>
  </w:style>
  <w:style w:type="paragraph" w:customStyle="1" w:styleId="TabbedCont7">
    <w:name w:val="Tabbed Cont 7"/>
    <w:basedOn w:val="TabbedCont6"/>
    <w:link w:val="TabbedCont7Char"/>
    <w:uiPriority w:val="32"/>
    <w:unhideWhenUsed/>
    <w:pPr>
      <w:ind w:firstLine="5040"/>
    </w:pPr>
  </w:style>
  <w:style w:type="character" w:customStyle="1" w:styleId="TabbedCont7Char">
    <w:name w:val="Tabbed Cont 7 Char"/>
    <w:link w:val="TabbedCont7"/>
    <w:uiPriority w:val="32"/>
    <w:rPr>
      <w:sz w:val="24"/>
      <w:szCs w:val="24"/>
    </w:rPr>
  </w:style>
  <w:style w:type="paragraph" w:customStyle="1" w:styleId="TabbedCont8">
    <w:name w:val="Tabbed Cont 8"/>
    <w:basedOn w:val="TabbedCont7"/>
    <w:link w:val="TabbedCont8Char"/>
    <w:uiPriority w:val="32"/>
    <w:unhideWhenUsed/>
    <w:pPr>
      <w:ind w:firstLine="5760"/>
    </w:pPr>
  </w:style>
  <w:style w:type="character" w:customStyle="1" w:styleId="TabbedCont8Char">
    <w:name w:val="Tabbed Cont 8 Char"/>
    <w:link w:val="TabbedCont8"/>
    <w:uiPriority w:val="32"/>
    <w:rPr>
      <w:sz w:val="24"/>
      <w:szCs w:val="24"/>
    </w:rPr>
  </w:style>
  <w:style w:type="paragraph" w:customStyle="1" w:styleId="TabbedCont9">
    <w:name w:val="Tabbed Cont 9"/>
    <w:basedOn w:val="TabbedCont8"/>
    <w:link w:val="TabbedCont9Char"/>
    <w:uiPriority w:val="32"/>
    <w:unhideWhenUsed/>
    <w:pPr>
      <w:ind w:firstLine="6480"/>
    </w:pPr>
  </w:style>
  <w:style w:type="character" w:customStyle="1" w:styleId="TabbedCont9Char">
    <w:name w:val="Tabbed Cont 9 Char"/>
    <w:link w:val="TabbedCont9"/>
    <w:uiPriority w:val="32"/>
    <w:rPr>
      <w:sz w:val="24"/>
      <w:szCs w:val="24"/>
    </w:rPr>
  </w:style>
  <w:style w:type="paragraph" w:customStyle="1" w:styleId="Legal21">
    <w:name w:val="Legal2 1"/>
    <w:basedOn w:val="Normal"/>
    <w:next w:val="Legal2Cont1"/>
    <w:link w:val="Legal21Char"/>
    <w:qFormat/>
    <w:pPr>
      <w:keepNext/>
      <w:numPr>
        <w:numId w:val="3"/>
      </w:numPr>
      <w:spacing w:after="240"/>
      <w:outlineLvl w:val="0"/>
    </w:pPr>
    <w:rPr>
      <w:b/>
    </w:rPr>
  </w:style>
  <w:style w:type="character" w:customStyle="1" w:styleId="Legal21Char">
    <w:name w:val="Legal2 1 Char"/>
    <w:basedOn w:val="DefaultParagraphFont"/>
    <w:link w:val="Legal21"/>
    <w:rPr>
      <w:b/>
      <w:sz w:val="24"/>
      <w:szCs w:val="24"/>
    </w:rPr>
  </w:style>
  <w:style w:type="paragraph" w:customStyle="1" w:styleId="Legal22">
    <w:name w:val="Legal2 2"/>
    <w:basedOn w:val="Legal21"/>
    <w:next w:val="Legal2Cont2"/>
    <w:link w:val="Legal22Char"/>
    <w:qFormat/>
    <w:pPr>
      <w:keepNext w:val="0"/>
      <w:numPr>
        <w:ilvl w:val="1"/>
      </w:numPr>
      <w:outlineLvl w:val="1"/>
    </w:pPr>
    <w:rPr>
      <w:b w:val="0"/>
    </w:rPr>
  </w:style>
  <w:style w:type="character" w:customStyle="1" w:styleId="Legal22Char">
    <w:name w:val="Legal2 2 Char"/>
    <w:basedOn w:val="DefaultParagraphFont"/>
    <w:link w:val="Legal22"/>
    <w:rPr>
      <w:sz w:val="24"/>
      <w:szCs w:val="24"/>
    </w:rPr>
  </w:style>
  <w:style w:type="paragraph" w:customStyle="1" w:styleId="Legal23">
    <w:name w:val="Legal2 3"/>
    <w:basedOn w:val="Legal22"/>
    <w:next w:val="Legal2Cont3"/>
    <w:link w:val="Legal23Char"/>
    <w:qFormat/>
    <w:pPr>
      <w:numPr>
        <w:ilvl w:val="2"/>
      </w:numPr>
      <w:outlineLvl w:val="2"/>
    </w:pPr>
  </w:style>
  <w:style w:type="character" w:customStyle="1" w:styleId="Legal23Char">
    <w:name w:val="Legal2 3 Char"/>
    <w:basedOn w:val="DefaultParagraphFont"/>
    <w:link w:val="Legal23"/>
    <w:rPr>
      <w:sz w:val="24"/>
      <w:szCs w:val="24"/>
    </w:rPr>
  </w:style>
  <w:style w:type="paragraph" w:customStyle="1" w:styleId="Legal24">
    <w:name w:val="Legal2 4"/>
    <w:basedOn w:val="Legal23"/>
    <w:next w:val="Legal2Cont4"/>
    <w:link w:val="Legal24Char"/>
    <w:qFormat/>
    <w:pPr>
      <w:numPr>
        <w:ilvl w:val="3"/>
      </w:numPr>
      <w:outlineLvl w:val="3"/>
    </w:pPr>
  </w:style>
  <w:style w:type="character" w:customStyle="1" w:styleId="Legal24Char">
    <w:name w:val="Legal2 4 Char"/>
    <w:basedOn w:val="DefaultParagraphFont"/>
    <w:link w:val="Legal24"/>
    <w:rPr>
      <w:sz w:val="24"/>
      <w:szCs w:val="24"/>
    </w:rPr>
  </w:style>
  <w:style w:type="paragraph" w:customStyle="1" w:styleId="Legal25">
    <w:name w:val="Legal2 5"/>
    <w:basedOn w:val="Legal24"/>
    <w:next w:val="Legal2Cont5"/>
    <w:link w:val="Legal25Char"/>
    <w:qFormat/>
    <w:pPr>
      <w:numPr>
        <w:ilvl w:val="4"/>
      </w:numPr>
      <w:outlineLvl w:val="4"/>
    </w:pPr>
  </w:style>
  <w:style w:type="character" w:customStyle="1" w:styleId="Legal25Char">
    <w:name w:val="Legal2 5 Char"/>
    <w:basedOn w:val="DefaultParagraphFont"/>
    <w:link w:val="Legal25"/>
    <w:rPr>
      <w:sz w:val="24"/>
      <w:szCs w:val="24"/>
    </w:rPr>
  </w:style>
  <w:style w:type="paragraph" w:customStyle="1" w:styleId="Legal26">
    <w:name w:val="Legal2 6"/>
    <w:basedOn w:val="Legal25"/>
    <w:next w:val="Legal2Cont6"/>
    <w:link w:val="Legal26Char"/>
    <w:qFormat/>
    <w:pPr>
      <w:numPr>
        <w:ilvl w:val="5"/>
      </w:numPr>
      <w:outlineLvl w:val="5"/>
    </w:pPr>
  </w:style>
  <w:style w:type="character" w:customStyle="1" w:styleId="Legal26Char">
    <w:name w:val="Legal2 6 Char"/>
    <w:basedOn w:val="DefaultParagraphFont"/>
    <w:link w:val="Legal26"/>
    <w:rPr>
      <w:sz w:val="24"/>
      <w:szCs w:val="24"/>
    </w:rPr>
  </w:style>
  <w:style w:type="paragraph" w:customStyle="1" w:styleId="Legal27">
    <w:name w:val="Legal2 7"/>
    <w:basedOn w:val="Legal26"/>
    <w:next w:val="Legal2Cont7"/>
    <w:link w:val="Legal27Char"/>
    <w:qFormat/>
    <w:pPr>
      <w:numPr>
        <w:ilvl w:val="6"/>
      </w:numPr>
      <w:outlineLvl w:val="6"/>
    </w:pPr>
  </w:style>
  <w:style w:type="character" w:customStyle="1" w:styleId="Legal27Char">
    <w:name w:val="Legal2 7 Char"/>
    <w:basedOn w:val="DefaultParagraphFont"/>
    <w:link w:val="Legal27"/>
    <w:rPr>
      <w:sz w:val="24"/>
      <w:szCs w:val="24"/>
    </w:rPr>
  </w:style>
  <w:style w:type="paragraph" w:customStyle="1" w:styleId="Legal28">
    <w:name w:val="Legal2 8"/>
    <w:basedOn w:val="Legal27"/>
    <w:next w:val="Legal2Cont8"/>
    <w:link w:val="Legal28Char"/>
    <w:qFormat/>
    <w:pPr>
      <w:numPr>
        <w:ilvl w:val="7"/>
      </w:numPr>
      <w:outlineLvl w:val="7"/>
    </w:pPr>
  </w:style>
  <w:style w:type="character" w:customStyle="1" w:styleId="Legal28Char">
    <w:name w:val="Legal2 8 Char"/>
    <w:basedOn w:val="DefaultParagraphFont"/>
    <w:link w:val="Legal28"/>
    <w:rPr>
      <w:sz w:val="24"/>
      <w:szCs w:val="24"/>
    </w:rPr>
  </w:style>
  <w:style w:type="paragraph" w:customStyle="1" w:styleId="Legal29">
    <w:name w:val="Legal2 9"/>
    <w:basedOn w:val="Legal28"/>
    <w:next w:val="Legal2Cont9"/>
    <w:link w:val="Legal29Char"/>
    <w:qFormat/>
    <w:pPr>
      <w:numPr>
        <w:ilvl w:val="8"/>
      </w:numPr>
      <w:outlineLvl w:val="8"/>
    </w:pPr>
  </w:style>
  <w:style w:type="character" w:customStyle="1" w:styleId="Legal29Char">
    <w:name w:val="Legal2 9 Char"/>
    <w:basedOn w:val="DefaultParagraphFont"/>
    <w:link w:val="Legal29"/>
    <w:rPr>
      <w:sz w:val="24"/>
      <w:szCs w:val="24"/>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OC1">
    <w:name w:val="toc 1"/>
    <w:basedOn w:val="Normal"/>
    <w:next w:val="Normal"/>
    <w:autoRedefine/>
    <w:uiPriority w:val="39"/>
    <w:unhideWhenUsed/>
    <w:rsid w:val="009C58F9"/>
    <w:pPr>
      <w:tabs>
        <w:tab w:val="right" w:leader="dot" w:pos="9360"/>
      </w:tabs>
      <w:spacing w:after="100"/>
      <w:ind w:left="720" w:right="720" w:hanging="720"/>
    </w:pPr>
  </w:style>
  <w:style w:type="paragraph" w:styleId="TOC2">
    <w:name w:val="toc 2"/>
    <w:basedOn w:val="Normal"/>
    <w:next w:val="Normal"/>
    <w:autoRedefine/>
    <w:uiPriority w:val="39"/>
    <w:unhideWhenUsed/>
    <w:rsid w:val="009C58F9"/>
    <w:pPr>
      <w:tabs>
        <w:tab w:val="left" w:pos="1440"/>
        <w:tab w:val="right" w:leader="dot" w:pos="9360"/>
      </w:tabs>
      <w:spacing w:after="100"/>
      <w:ind w:left="1440" w:right="720" w:hanging="720"/>
    </w:pPr>
  </w:style>
  <w:style w:type="paragraph" w:styleId="TOC3">
    <w:name w:val="toc 3"/>
    <w:basedOn w:val="Normal"/>
    <w:next w:val="Normal"/>
    <w:autoRedefine/>
    <w:uiPriority w:val="39"/>
    <w:unhideWhenUsed/>
    <w:pPr>
      <w:spacing w:after="100"/>
      <w:ind w:left="480"/>
    </w:pPr>
  </w:style>
  <w:style w:type="paragraph" w:styleId="TOC4">
    <w:name w:val="toc 4"/>
    <w:basedOn w:val="Normal"/>
    <w:next w:val="Normal"/>
    <w:autoRedefine/>
    <w:uiPriority w:val="39"/>
    <w:unhideWhenUsed/>
    <w:pPr>
      <w:spacing w:after="100"/>
      <w:ind w:left="720"/>
    </w:pPr>
  </w:style>
  <w:style w:type="paragraph" w:styleId="TOC5">
    <w:name w:val="toc 5"/>
    <w:basedOn w:val="Normal"/>
    <w:next w:val="Normal"/>
    <w:autoRedefine/>
    <w:uiPriority w:val="39"/>
    <w:unhideWhenUsed/>
    <w:pPr>
      <w:spacing w:after="100"/>
      <w:ind w:left="960"/>
    </w:pPr>
  </w:style>
  <w:style w:type="paragraph" w:styleId="TOC6">
    <w:name w:val="toc 6"/>
    <w:basedOn w:val="Normal"/>
    <w:next w:val="Normal"/>
    <w:autoRedefine/>
    <w:uiPriority w:val="39"/>
    <w:unhideWhenUsed/>
    <w:pPr>
      <w:spacing w:after="100"/>
      <w:ind w:left="1200"/>
    </w:pPr>
  </w:style>
  <w:style w:type="paragraph" w:styleId="TOC7">
    <w:name w:val="toc 7"/>
    <w:basedOn w:val="Normal"/>
    <w:next w:val="Normal"/>
    <w:autoRedefine/>
    <w:uiPriority w:val="39"/>
    <w:unhideWhenUsed/>
    <w:pPr>
      <w:spacing w:after="100"/>
      <w:ind w:left="1440"/>
    </w:pPr>
  </w:style>
  <w:style w:type="paragraph" w:styleId="TOC8">
    <w:name w:val="toc 8"/>
    <w:basedOn w:val="Normal"/>
    <w:next w:val="Normal"/>
    <w:autoRedefine/>
    <w:uiPriority w:val="39"/>
    <w:unhideWhenUsed/>
    <w:pPr>
      <w:spacing w:after="100"/>
      <w:ind w:left="1680"/>
    </w:pPr>
  </w:style>
  <w:style w:type="paragraph" w:styleId="TOC9">
    <w:name w:val="toc 9"/>
    <w:basedOn w:val="Normal"/>
    <w:next w:val="Normal"/>
    <w:autoRedefine/>
    <w:uiPriority w:val="39"/>
    <w:unhideWhenUsed/>
    <w:pPr>
      <w:spacing w:after="100"/>
      <w:ind w:left="1920"/>
    </w:pPr>
  </w:style>
  <w:style w:type="character" w:styleId="Hyperlink">
    <w:name w:val="Hyperlink"/>
    <w:basedOn w:val="DefaultParagraphFont"/>
    <w:uiPriority w:val="99"/>
    <w:unhideWhenUsed/>
    <w:rPr>
      <w:color w:val="0000FF" w:themeColor="hyperlink"/>
      <w:u w:val="single"/>
    </w:rPr>
  </w:style>
  <w:style w:type="paragraph" w:customStyle="1" w:styleId="Legal1L1">
    <w:name w:val="Legal1_L1"/>
    <w:basedOn w:val="Normal"/>
    <w:next w:val="Legal1Cont1"/>
    <w:uiPriority w:val="99"/>
    <w:pPr>
      <w:numPr>
        <w:ilvl w:val="2"/>
        <w:numId w:val="9"/>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pPr>
      <w:numPr>
        <w:ilvl w:val="4"/>
        <w:numId w:val="9"/>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pPr>
      <w:numPr>
        <w:ilvl w:val="5"/>
      </w:numPr>
      <w:tabs>
        <w:tab w:val="clear" w:pos="3600"/>
      </w:tabs>
      <w:outlineLvl w:val="5"/>
    </w:pPr>
  </w:style>
  <w:style w:type="paragraph" w:customStyle="1" w:styleId="Legal1L8">
    <w:name w:val="Legal1_L8"/>
    <w:basedOn w:val="Normal"/>
    <w:next w:val="Legal1Cont8"/>
    <w:pPr>
      <w:numPr>
        <w:ilvl w:val="7"/>
        <w:numId w:val="9"/>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pPr>
      <w:numPr>
        <w:ilvl w:val="8"/>
      </w:numPr>
      <w:tabs>
        <w:tab w:val="clear" w:pos="5760"/>
      </w:tabs>
      <w:outlineLvl w:val="8"/>
    </w:pPr>
  </w:style>
  <w:style w:type="paragraph" w:customStyle="1" w:styleId="TOCHeader">
    <w:name w:val="TOC Header"/>
    <w:basedOn w:val="Normal"/>
    <w:uiPriority w:val="99"/>
    <w:pPr>
      <w:adjustRightInd w:val="0"/>
      <w:ind w:left="115" w:right="115"/>
      <w:jc w:val="center"/>
    </w:pPr>
    <w:rPr>
      <w:rFonts w:eastAsia="Times New Roman"/>
    </w:rPr>
  </w:style>
  <w:style w:type="paragraph" w:styleId="Revision">
    <w:name w:val="Revision"/>
    <w:hidden/>
    <w:uiPriority w:val="99"/>
    <w:semiHidden/>
    <w:rsid w:val="00B534AF"/>
    <w:rPr>
      <w:sz w:val="24"/>
      <w:szCs w:val="24"/>
    </w:rPr>
  </w:style>
  <w:style w:type="character" w:styleId="UnresolvedMention">
    <w:name w:val="Unresolved Mention"/>
    <w:basedOn w:val="DefaultParagraphFont"/>
    <w:uiPriority w:val="99"/>
    <w:semiHidden/>
    <w:unhideWhenUsed/>
    <w:rsid w:val="009E2673"/>
    <w:rPr>
      <w:color w:val="605E5C"/>
      <w:shd w:val="clear" w:color="auto" w:fill="E1DFDD"/>
    </w:rPr>
  </w:style>
  <w:style w:type="character" w:customStyle="1" w:styleId="ui-provider">
    <w:name w:val="ui-provider"/>
    <w:basedOn w:val="DefaultParagraphFont"/>
    <w:rsid w:val="00501A9A"/>
  </w:style>
  <w:style w:type="character" w:customStyle="1" w:styleId="cf01">
    <w:name w:val="cf01"/>
    <w:basedOn w:val="DefaultParagraphFont"/>
    <w:rsid w:val="00BE3F5A"/>
    <w:rPr>
      <w:rFonts w:ascii="Segoe UI" w:hAnsi="Segoe UI" w:cs="Segoe UI" w:hint="default"/>
      <w:sz w:val="18"/>
      <w:szCs w:val="18"/>
    </w:rPr>
  </w:style>
  <w:style w:type="paragraph" w:styleId="ListParagraph">
    <w:name w:val="List Paragraph"/>
    <w:basedOn w:val="Normal"/>
    <w:uiPriority w:val="34"/>
    <w:qFormat/>
    <w:rsid w:val="0093489F"/>
    <w:pPr>
      <w:ind w:left="720"/>
      <w:contextualSpacing/>
    </w:pPr>
    <w:rPr>
      <w:rFonts w:eastAsia="Times New Roman"/>
    </w:rPr>
  </w:style>
  <w:style w:type="character" w:customStyle="1" w:styleId="RSBlockTextChar">
    <w:name w:val="RS Block Text Char"/>
    <w:basedOn w:val="DefaultParagraphFont"/>
    <w:link w:val="RSBlockText"/>
    <w:locked/>
    <w:rsid w:val="0093489F"/>
    <w:rPr>
      <w:rFonts w:ascii="Arial" w:hAnsi="Arial" w:cs="Arial"/>
      <w:lang w:eastAsia="zh-CN"/>
    </w:rPr>
  </w:style>
  <w:style w:type="paragraph" w:customStyle="1" w:styleId="RSBlockText">
    <w:name w:val="RS Block Text"/>
    <w:basedOn w:val="Normal"/>
    <w:link w:val="RSBlockTextChar"/>
    <w:qFormat/>
    <w:rsid w:val="0093489F"/>
    <w:pPr>
      <w:spacing w:after="240"/>
      <w:ind w:firstLine="720"/>
      <w:jc w:val="both"/>
    </w:pPr>
    <w:rPr>
      <w:rFonts w:ascii="Arial" w:hAnsi="Arial" w:cs="Arial"/>
      <w:sz w:val="20"/>
      <w:szCs w:val="20"/>
      <w:lang w:eastAsia="zh-CN"/>
    </w:rPr>
  </w:style>
  <w:style w:type="character" w:customStyle="1" w:styleId="RSBodyTextChar">
    <w:name w:val="RS Body Text Char"/>
    <w:basedOn w:val="DefaultParagraphFont"/>
    <w:link w:val="RSBodyText"/>
    <w:locked/>
    <w:rsid w:val="0093489F"/>
    <w:rPr>
      <w:rFonts w:ascii="Arial" w:hAnsi="Arial" w:cs="Arial"/>
      <w:szCs w:val="24"/>
    </w:rPr>
  </w:style>
  <w:style w:type="paragraph" w:customStyle="1" w:styleId="RSBodyText">
    <w:name w:val="RS Body Text"/>
    <w:basedOn w:val="Normal"/>
    <w:link w:val="RSBodyTextChar"/>
    <w:qFormat/>
    <w:rsid w:val="0093489F"/>
    <w:pPr>
      <w:spacing w:after="240"/>
    </w:pPr>
    <w:rPr>
      <w:rFonts w:ascii="Arial" w:hAnsi="Arial" w:cs="Arial"/>
      <w:sz w:val="20"/>
    </w:rPr>
  </w:style>
  <w:style w:type="paragraph" w:customStyle="1" w:styleId="RSBulletedList">
    <w:name w:val="RS Bulleted List"/>
    <w:basedOn w:val="Normal"/>
    <w:rsid w:val="0093489F"/>
    <w:pPr>
      <w:numPr>
        <w:numId w:val="13"/>
      </w:numPr>
      <w:spacing w:after="240"/>
      <w:jc w:val="both"/>
    </w:pPr>
    <w:rPr>
      <w:rFonts w:ascii="Arial" w:eastAsiaTheme="minorHAnsi" w:hAnsi="Arial" w:cstheme="minorBidi"/>
      <w:sz w:val="20"/>
    </w:rPr>
  </w:style>
  <w:style w:type="character" w:styleId="Mention">
    <w:name w:val="Mention"/>
    <w:basedOn w:val="DefaultParagraphFont"/>
    <w:uiPriority w:val="99"/>
    <w:unhideWhenUsed/>
    <w:rsid w:val="00D6424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339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footer" Target="footer9.xml"/><Relationship Id="rId39" Type="http://schemas.openxmlformats.org/officeDocument/2006/relationships/header" Target="header9.xml"/><Relationship Id="rId3" Type="http://schemas.openxmlformats.org/officeDocument/2006/relationships/customXml" Target="../customXml/item3.xml"/><Relationship Id="rId21" Type="http://schemas.openxmlformats.org/officeDocument/2006/relationships/hyperlink" Target="mailto:hdgonsalves@pplweb.com" TargetMode="External"/><Relationship Id="rId34" Type="http://schemas.openxmlformats.org/officeDocument/2006/relationships/footer" Target="footer15.xml"/><Relationship Id="rId42" Type="http://schemas.openxmlformats.org/officeDocument/2006/relationships/header" Target="header10.xml"/><Relationship Id="rId47" Type="http://schemas.openxmlformats.org/officeDocument/2006/relationships/header" Target="header11.xml"/><Relationship Id="rId50"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eader" Target="header5.xml"/><Relationship Id="rId33" Type="http://schemas.openxmlformats.org/officeDocument/2006/relationships/header" Target="header7.xml"/><Relationship Id="rId38" Type="http://schemas.openxmlformats.org/officeDocument/2006/relationships/footer" Target="footer18.xml"/><Relationship Id="rId46" Type="http://schemas.openxmlformats.org/officeDocument/2006/relationships/footer" Target="footer23.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mailto:RenewableContracts@nationalgrid.com" TargetMode="External"/><Relationship Id="rId29" Type="http://schemas.openxmlformats.org/officeDocument/2006/relationships/header" Target="header6.xml"/><Relationship Id="rId41"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footer" Target="footer14.xml"/><Relationship Id="rId37" Type="http://schemas.openxmlformats.org/officeDocument/2006/relationships/header" Target="header8.xml"/><Relationship Id="rId40" Type="http://schemas.openxmlformats.org/officeDocument/2006/relationships/footer" Target="footer19.xml"/><Relationship Id="rId45" Type="http://schemas.openxmlformats.org/officeDocument/2006/relationships/footer" Target="footer22.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oter" Target="footer7.xml"/><Relationship Id="rId28" Type="http://schemas.openxmlformats.org/officeDocument/2006/relationships/footer" Target="footer11.xml"/><Relationship Id="rId36" Type="http://schemas.openxmlformats.org/officeDocument/2006/relationships/footer" Target="footer17.xm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3.xml"/><Relationship Id="rId44" Type="http://schemas.openxmlformats.org/officeDocument/2006/relationships/hyperlink" Target="mailto:pplcertificates@pplweb.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eader" Target="header4.xml"/><Relationship Id="rId27" Type="http://schemas.openxmlformats.org/officeDocument/2006/relationships/footer" Target="footer10.xml"/><Relationship Id="rId30" Type="http://schemas.openxmlformats.org/officeDocument/2006/relationships/footer" Target="footer12.xml"/><Relationship Id="rId35" Type="http://schemas.openxmlformats.org/officeDocument/2006/relationships/footer" Target="footer16.xml"/><Relationship Id="rId43" Type="http://schemas.openxmlformats.org/officeDocument/2006/relationships/footer" Target="footer21.xml"/><Relationship Id="rId48" Type="http://schemas.openxmlformats.org/officeDocument/2006/relationships/footer" Target="footer24.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3C7462F72C0744BA5A264E96A1D9F2E" ma:contentTypeVersion="3" ma:contentTypeDescription="Create a new document." ma:contentTypeScope="" ma:versionID="34c933ed6bdfe58db65850cbc9e754aa">
  <xsd:schema xmlns:xsd="http://www.w3.org/2001/XMLSchema" xmlns:xs="http://www.w3.org/2001/XMLSchema" xmlns:p="http://schemas.microsoft.com/office/2006/metadata/properties" xmlns:ns2="8709abe8-1549-44b6-bf8a-c2582cd784e2" targetNamespace="http://schemas.microsoft.com/office/2006/metadata/properties" ma:root="true" ma:fieldsID="16324a4d124ae899026b1ff40a82fb6e" ns2:_="">
    <xsd:import namespace="8709abe8-1549-44b6-bf8a-c2582cd784e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09abe8-1549-44b6-bf8a-c2582cd784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2105D4F-3B10-44D8-B9B3-5BED7AF614C7}">
  <ds:schemaRefs>
    <ds:schemaRef ds:uri="http://schemas.openxmlformats.org/officeDocument/2006/bibliography"/>
  </ds:schemaRefs>
</ds:datastoreItem>
</file>

<file path=customXml/itemProps2.xml><?xml version="1.0" encoding="utf-8"?>
<ds:datastoreItem xmlns:ds="http://schemas.openxmlformats.org/officeDocument/2006/customXml" ds:itemID="{C6DD4804-AFEE-456B-8AA7-259CC866D23A}">
  <ds:schemaRefs>
    <ds:schemaRef ds:uri="http://schemas.microsoft.com/sharepoint/v3/contenttype/forms"/>
  </ds:schemaRefs>
</ds:datastoreItem>
</file>

<file path=customXml/itemProps3.xml><?xml version="1.0" encoding="utf-8"?>
<ds:datastoreItem xmlns:ds="http://schemas.openxmlformats.org/officeDocument/2006/customXml" ds:itemID="{C45F449D-DB00-4C60-BC84-EA705B926E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09abe8-1549-44b6-bf8a-c2582cd784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6EC05AF-104C-4C56-9E10-0D820ECF073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72</Pages>
  <Words>27432</Words>
  <Characters>156369</Characters>
  <Application>Microsoft Office Word</Application>
  <DocSecurity>0</DocSecurity>
  <Lines>1303</Lines>
  <Paragraphs>366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Campbell, Kenneth Michael</dc:creator>
  <cp:keywords/>
  <cp:lastModifiedBy>Armstrong, Evan</cp:lastModifiedBy>
  <cp:revision>9</cp:revision>
  <dcterms:created xsi:type="dcterms:W3CDTF">2024-10-04T22:44:00Z</dcterms:created>
  <dcterms:modified xsi:type="dcterms:W3CDTF">2026-05-13T15:13:00Z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96793768.4</vt:lpwstr>
  </property>
  <property fmtid="{D5CDD505-2E9C-101B-9397-08002B2CF9AE}" pid="3" name="MAIL_MSG_ID1">
    <vt:lpwstr>gFAAvvm1OVlBaXF0Z29B9XRUUl3sfuM/6VkbRvOx1ARBMUvBuTGKg4tmya/C4jYWTE3ZuDapYrh01wpd
GpsEyxtIW9grQbki47YJ0gtZK6o2TJmS2qb5pwnD3UyzFuqcRXJDkWNJ2aQkJ1NdGpsEyxtIW9gr
Qbki47YJ0gtZK6o2TJmS2qb5pwnD3ScXEAvHMsxYm/cCxzLJtNOowP3wfxC3i/8g2+88ltVja8nr
hK2pd8Tkcf45WeW0L</vt:lpwstr>
  </property>
  <property fmtid="{D5CDD505-2E9C-101B-9397-08002B2CF9AE}" pid="4" name="MAIL_MSG_ID2">
    <vt:lpwstr>P/H0SbebUugloUHKaZ5+P0wPhCYUrk7kdLUdfu1Qj3OB+CYlKVi613jMW33
Z98ErZzBt+WKAIU5caYbWF4WqwVGfQIcDKUpFg==</vt:lpwstr>
  </property>
  <property fmtid="{D5CDD505-2E9C-101B-9397-08002B2CF9AE}" pid="5" name="RESPONSE_SENDER_NAME">
    <vt:lpwstr>sAAAE34RQVAK31k9lQvepyuE5rvaHY//2xJtWxWU3rj8wCg=</vt:lpwstr>
  </property>
  <property fmtid="{D5CDD505-2E9C-101B-9397-08002B2CF9AE}" pid="6" name="EMAIL_OWNER_ADDRESS">
    <vt:lpwstr>ABAAVOAfoSrQoyz+2nDyg8aBxpkF4vt3fggGTr2MtWZZx3tlWXShuIjfXeFwQyDqoY+Q</vt:lpwstr>
  </property>
  <property fmtid="{D5CDD505-2E9C-101B-9397-08002B2CF9AE}" pid="7" name="ClassificationContentMarkingFooterShapeIds">
    <vt:lpwstr>407a412a,3bff4d97,5bb93987,736985c9,44c5bdbe,59ce5605,7916f0dc,1a86d8a,309595da,22012d1b,7858c016,717d1ec3,4c564142,1c7c7d37,1075cc73,5326da76,4eebc6a7,1638369d,7ec7083,4ce347c5,13deb107,5d6256b6,2ab5008d</vt:lpwstr>
  </property>
  <property fmtid="{D5CDD505-2E9C-101B-9397-08002B2CF9AE}" pid="8" name="ClassificationContentMarkingFooterShapeIds-1">
    <vt:lpwstr>7ff6efab</vt:lpwstr>
  </property>
  <property fmtid="{D5CDD505-2E9C-101B-9397-08002B2CF9AE}" pid="9" name="ClassificationContentMarkingFooterFontProps">
    <vt:lpwstr>#000000,14,Calibri</vt:lpwstr>
  </property>
  <property fmtid="{D5CDD505-2E9C-101B-9397-08002B2CF9AE}" pid="10" name="ClassificationContentMarkingFooterText">
    <vt:lpwstr>Confidential</vt:lpwstr>
  </property>
  <property fmtid="{D5CDD505-2E9C-101B-9397-08002B2CF9AE}" pid="11" name="MSIP_Label_b28095e7-21cd-4f1b-a182-85eb226f41ae_Enabled">
    <vt:lpwstr>true</vt:lpwstr>
  </property>
  <property fmtid="{D5CDD505-2E9C-101B-9397-08002B2CF9AE}" pid="12" name="MSIP_Label_b28095e7-21cd-4f1b-a182-85eb226f41ae_SetDate">
    <vt:lpwstr>2023-12-02T20:06:55Z</vt:lpwstr>
  </property>
  <property fmtid="{D5CDD505-2E9C-101B-9397-08002B2CF9AE}" pid="13" name="MSIP_Label_b28095e7-21cd-4f1b-a182-85eb226f41ae_Method">
    <vt:lpwstr>Privileged</vt:lpwstr>
  </property>
  <property fmtid="{D5CDD505-2E9C-101B-9397-08002B2CF9AE}" pid="14" name="MSIP_Label_b28095e7-21cd-4f1b-a182-85eb226f41ae_Name">
    <vt:lpwstr>b28095e7-21cd-4f1b-a182-85eb226f41ae</vt:lpwstr>
  </property>
  <property fmtid="{D5CDD505-2E9C-101B-9397-08002B2CF9AE}" pid="15" name="MSIP_Label_b28095e7-21cd-4f1b-a182-85eb226f41ae_SiteId">
    <vt:lpwstr>25b79aa0-07c6-4d65-9c80-df92aacdc157</vt:lpwstr>
  </property>
  <property fmtid="{D5CDD505-2E9C-101B-9397-08002B2CF9AE}" pid="16" name="MSIP_Label_b28095e7-21cd-4f1b-a182-85eb226f41ae_ActionId">
    <vt:lpwstr>67ec54ef-7220-4f49-919b-b5ddd6cc87c0</vt:lpwstr>
  </property>
  <property fmtid="{D5CDD505-2E9C-101B-9397-08002B2CF9AE}" pid="17" name="MSIP_Label_b28095e7-21cd-4f1b-a182-85eb226f41ae_ContentBits">
    <vt:lpwstr>2</vt:lpwstr>
  </property>
  <property fmtid="{D5CDD505-2E9C-101B-9397-08002B2CF9AE}" pid="18" name="ContentTypeId">
    <vt:lpwstr>0x01010013C7462F72C0744BA5A264E96A1D9F2E</vt:lpwstr>
  </property>
  <property fmtid="{D5CDD505-2E9C-101B-9397-08002B2CF9AE}" pid="19" name="SearchContentClass">
    <vt:lpwstr/>
  </property>
  <property fmtid="{D5CDD505-2E9C-101B-9397-08002B2CF9AE}" pid="20" name="Searchable">
    <vt:bool>false</vt:bool>
  </property>
  <property fmtid="{D5CDD505-2E9C-101B-9397-08002B2CF9AE}" pid="21" name="xd_ProgID">
    <vt:lpwstr/>
  </property>
  <property fmtid="{D5CDD505-2E9C-101B-9397-08002B2CF9AE}" pid="22" name="ComplianceAssetId">
    <vt:lpwstr/>
  </property>
  <property fmtid="{D5CDD505-2E9C-101B-9397-08002B2CF9AE}" pid="23" name="TemplateUrl">
    <vt:lpwstr/>
  </property>
  <property fmtid="{D5CDD505-2E9C-101B-9397-08002B2CF9AE}" pid="24" name="_ExtendedDescription">
    <vt:lpwstr/>
  </property>
  <property fmtid="{D5CDD505-2E9C-101B-9397-08002B2CF9AE}" pid="25" name="TriggerFlowInfo">
    <vt:lpwstr/>
  </property>
  <property fmtid="{D5CDD505-2E9C-101B-9397-08002B2CF9AE}" pid="26" name="xd_Signature">
    <vt:bool>false</vt:bool>
  </property>
  <property fmtid="{D5CDD505-2E9C-101B-9397-08002B2CF9AE}" pid="27" name="docLang">
    <vt:lpwstr>en</vt:lpwstr>
  </property>
</Properties>
</file>